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722206" w14:textId="459B4DDC" w:rsidR="00F2067F" w:rsidRDefault="00F2067F" w:rsidP="00F2067F">
      <w:pPr>
        <w:rPr>
          <w:rFonts w:ascii="Times New Roman" w:eastAsia="Times New Roman" w:hAnsi="Times New Roman" w:cs="Times New Roman"/>
          <w:b/>
          <w:color w:val="215E99"/>
          <w:sz w:val="36"/>
          <w:szCs w:val="36"/>
        </w:rPr>
      </w:pPr>
      <w:r>
        <w:rPr>
          <w:rFonts w:ascii="Times New Roman" w:eastAsia="Times New Roman" w:hAnsi="Times New Roman" w:cs="Times New Roman"/>
          <w:b/>
          <w:noProof/>
          <w:color w:val="215E99"/>
          <w:sz w:val="36"/>
          <w:szCs w:val="36"/>
        </w:rPr>
        <w:drawing>
          <wp:inline distT="0" distB="0" distL="0" distR="0" wp14:anchorId="5103DA01" wp14:editId="69345D43">
            <wp:extent cx="539115" cy="646389"/>
            <wp:effectExtent l="0" t="0" r="0" b="1905"/>
            <wp:docPr id="1738473022" name="Picture 1" descr="A logo of a triangle with a sun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473022" name="Picture 1" descr="A logo of a triangle with a sun and tex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7334" cy="728182"/>
                    </a:xfrm>
                    <a:prstGeom prst="rect">
                      <a:avLst/>
                    </a:prstGeom>
                  </pic:spPr>
                </pic:pic>
              </a:graphicData>
            </a:graphic>
          </wp:inline>
        </w:drawing>
      </w:r>
      <w:r>
        <w:rPr>
          <w:rFonts w:ascii="Times New Roman" w:eastAsia="Times New Roman" w:hAnsi="Times New Roman" w:cs="Times New Roman"/>
          <w:b/>
          <w:color w:val="215E99"/>
          <w:sz w:val="36"/>
          <w:szCs w:val="36"/>
        </w:rPr>
        <w:t xml:space="preserve">                                </w:t>
      </w:r>
      <w:r>
        <w:rPr>
          <w:rFonts w:ascii="Times New Roman" w:eastAsia="Times New Roman" w:hAnsi="Times New Roman" w:cs="Times New Roman"/>
          <w:b/>
          <w:noProof/>
          <w:color w:val="215E99"/>
          <w:sz w:val="36"/>
          <w:szCs w:val="36"/>
        </w:rPr>
        <w:drawing>
          <wp:inline distT="0" distB="0" distL="0" distR="0" wp14:anchorId="77E13FFD" wp14:editId="55F66959">
            <wp:extent cx="397510" cy="478561"/>
            <wp:effectExtent l="0" t="0" r="0" b="4445"/>
            <wp:docPr id="8185261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26113" name="Picture 81852611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336" cy="512060"/>
                    </a:xfrm>
                    <a:prstGeom prst="rect">
                      <a:avLst/>
                    </a:prstGeom>
                  </pic:spPr>
                </pic:pic>
              </a:graphicData>
            </a:graphic>
          </wp:inline>
        </w:drawing>
      </w:r>
      <w:r>
        <w:rPr>
          <w:rFonts w:ascii="Times New Roman" w:eastAsia="Times New Roman" w:hAnsi="Times New Roman" w:cs="Times New Roman"/>
          <w:b/>
          <w:color w:val="215E99"/>
          <w:sz w:val="36"/>
          <w:szCs w:val="36"/>
        </w:rPr>
        <w:t xml:space="preserve">                                        </w:t>
      </w:r>
      <w:r>
        <w:rPr>
          <w:rFonts w:ascii="Times New Roman" w:eastAsia="Times New Roman" w:hAnsi="Times New Roman" w:cs="Times New Roman"/>
          <w:b/>
          <w:noProof/>
          <w:color w:val="215E99"/>
          <w:sz w:val="36"/>
          <w:szCs w:val="36"/>
        </w:rPr>
        <w:drawing>
          <wp:inline distT="0" distB="0" distL="0" distR="0" wp14:anchorId="2FCC9999" wp14:editId="750EDB0D">
            <wp:extent cx="667067" cy="612557"/>
            <wp:effectExtent l="0" t="0" r="0" b="0"/>
            <wp:docPr id="991895766" name="Picture 2" descr="A logo with text and red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95766" name="Picture 2" descr="A logo with text and red design&#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108" cy="698914"/>
                    </a:xfrm>
                    <a:prstGeom prst="rect">
                      <a:avLst/>
                    </a:prstGeom>
                  </pic:spPr>
                </pic:pic>
              </a:graphicData>
            </a:graphic>
          </wp:inline>
        </w:drawing>
      </w:r>
    </w:p>
    <w:p w14:paraId="1F9F2ADD" w14:textId="77777777" w:rsidR="00F2067F" w:rsidRDefault="00F2067F">
      <w:pPr>
        <w:jc w:val="center"/>
        <w:rPr>
          <w:rFonts w:ascii="Times New Roman" w:eastAsia="Times New Roman" w:hAnsi="Times New Roman" w:cs="Times New Roman"/>
          <w:b/>
          <w:color w:val="215E99"/>
          <w:sz w:val="36"/>
          <w:szCs w:val="36"/>
        </w:rPr>
      </w:pPr>
    </w:p>
    <w:p w14:paraId="14E4947F" w14:textId="383C1808" w:rsidR="003934E1" w:rsidRDefault="00000000" w:rsidP="00F2067F">
      <w:pPr>
        <w:jc w:val="center"/>
        <w:rPr>
          <w:rFonts w:ascii="Times New Roman" w:eastAsia="Times New Roman" w:hAnsi="Times New Roman" w:cs="Times New Roman"/>
          <w:b/>
          <w:color w:val="215E99"/>
          <w:sz w:val="36"/>
          <w:szCs w:val="36"/>
        </w:rPr>
      </w:pPr>
      <w:r>
        <w:rPr>
          <w:rFonts w:ascii="Times New Roman" w:eastAsia="Times New Roman" w:hAnsi="Times New Roman" w:cs="Times New Roman"/>
          <w:b/>
          <w:color w:val="215E99"/>
          <w:sz w:val="36"/>
          <w:szCs w:val="36"/>
        </w:rPr>
        <w:t>Indian Council of Social Science Research</w:t>
      </w:r>
    </w:p>
    <w:p w14:paraId="202179FF" w14:textId="77777777" w:rsidR="003934E1" w:rsidRDefault="003934E1" w:rsidP="00F2067F">
      <w:pPr>
        <w:jc w:val="center"/>
        <w:rPr>
          <w:rFonts w:ascii="Times New Roman" w:eastAsia="Times New Roman" w:hAnsi="Times New Roman" w:cs="Times New Roman"/>
          <w:b/>
          <w:color w:val="215E99"/>
          <w:sz w:val="36"/>
          <w:szCs w:val="36"/>
        </w:rPr>
      </w:pPr>
    </w:p>
    <w:p w14:paraId="3F51E568" w14:textId="77777777" w:rsidR="003934E1" w:rsidRDefault="00000000">
      <w:pPr>
        <w:jc w:val="center"/>
        <w:rPr>
          <w:rFonts w:ascii="Times New Roman" w:eastAsia="Times New Roman" w:hAnsi="Times New Roman" w:cs="Times New Roman"/>
          <w:b/>
          <w:color w:val="215E99"/>
          <w:sz w:val="36"/>
          <w:szCs w:val="36"/>
        </w:rPr>
      </w:pPr>
      <w:r>
        <w:rPr>
          <w:rFonts w:ascii="Times New Roman" w:eastAsia="Times New Roman" w:hAnsi="Times New Roman" w:cs="Times New Roman"/>
          <w:b/>
          <w:color w:val="215E99"/>
          <w:sz w:val="36"/>
          <w:szCs w:val="36"/>
        </w:rPr>
        <w:t>In Collaboration With</w:t>
      </w:r>
    </w:p>
    <w:p w14:paraId="43DAA258" w14:textId="77777777" w:rsidR="003934E1" w:rsidRDefault="003934E1">
      <w:pPr>
        <w:jc w:val="center"/>
        <w:rPr>
          <w:rFonts w:ascii="Times New Roman" w:eastAsia="Times New Roman" w:hAnsi="Times New Roman" w:cs="Times New Roman"/>
          <w:b/>
          <w:color w:val="215E99"/>
          <w:sz w:val="36"/>
          <w:szCs w:val="36"/>
        </w:rPr>
      </w:pPr>
    </w:p>
    <w:p w14:paraId="3592E276" w14:textId="77777777" w:rsidR="003934E1" w:rsidRDefault="00000000">
      <w:pPr>
        <w:jc w:val="center"/>
        <w:rPr>
          <w:rFonts w:ascii="Times New Roman" w:eastAsia="Times New Roman" w:hAnsi="Times New Roman" w:cs="Times New Roman"/>
          <w:b/>
          <w:color w:val="215E99"/>
          <w:sz w:val="36"/>
          <w:szCs w:val="36"/>
        </w:rPr>
      </w:pPr>
      <w:r>
        <w:rPr>
          <w:rFonts w:ascii="Times New Roman" w:eastAsia="Times New Roman" w:hAnsi="Times New Roman" w:cs="Times New Roman"/>
          <w:b/>
          <w:color w:val="215E99"/>
          <w:sz w:val="36"/>
          <w:szCs w:val="36"/>
        </w:rPr>
        <w:t>IQAC, Jesus and Mary College, University of Delhi</w:t>
      </w:r>
    </w:p>
    <w:p w14:paraId="5F069033" w14:textId="77777777" w:rsidR="003934E1" w:rsidRDefault="003934E1">
      <w:pPr>
        <w:jc w:val="center"/>
        <w:rPr>
          <w:rFonts w:ascii="Times New Roman" w:eastAsia="Times New Roman" w:hAnsi="Times New Roman" w:cs="Times New Roman"/>
          <w:b/>
          <w:color w:val="215E99"/>
          <w:sz w:val="36"/>
          <w:szCs w:val="36"/>
        </w:rPr>
      </w:pPr>
    </w:p>
    <w:p w14:paraId="19D6CB5F" w14:textId="77777777" w:rsidR="003934E1" w:rsidRDefault="00000000">
      <w:pPr>
        <w:jc w:val="center"/>
        <w:rPr>
          <w:rFonts w:ascii="Times New Roman" w:eastAsia="Times New Roman" w:hAnsi="Times New Roman" w:cs="Times New Roman"/>
          <w:b/>
          <w:color w:val="215E99"/>
          <w:sz w:val="36"/>
          <w:szCs w:val="36"/>
        </w:rPr>
      </w:pPr>
      <w:r>
        <w:rPr>
          <w:rFonts w:ascii="Times New Roman" w:eastAsia="Times New Roman" w:hAnsi="Times New Roman" w:cs="Times New Roman"/>
          <w:b/>
          <w:color w:val="215E99"/>
          <w:sz w:val="36"/>
          <w:szCs w:val="36"/>
        </w:rPr>
        <w:t>Organizes Two Day</w:t>
      </w:r>
    </w:p>
    <w:p w14:paraId="6044C2FE" w14:textId="77777777" w:rsidR="003934E1" w:rsidRDefault="003934E1">
      <w:pPr>
        <w:jc w:val="center"/>
        <w:rPr>
          <w:rFonts w:ascii="Times New Roman" w:eastAsia="Times New Roman" w:hAnsi="Times New Roman" w:cs="Times New Roman"/>
          <w:b/>
          <w:color w:val="215E99"/>
          <w:sz w:val="36"/>
          <w:szCs w:val="36"/>
        </w:rPr>
      </w:pPr>
    </w:p>
    <w:p w14:paraId="48F96F0D" w14:textId="77777777" w:rsidR="003934E1" w:rsidRDefault="00000000">
      <w:pPr>
        <w:jc w:val="center"/>
        <w:rPr>
          <w:rFonts w:ascii="Times New Roman" w:eastAsia="Times New Roman" w:hAnsi="Times New Roman" w:cs="Times New Roman"/>
          <w:b/>
          <w:color w:val="215E99"/>
          <w:sz w:val="36"/>
          <w:szCs w:val="36"/>
        </w:rPr>
      </w:pPr>
      <w:proofErr w:type="spellStart"/>
      <w:r>
        <w:rPr>
          <w:rFonts w:ascii="Times New Roman" w:eastAsia="Times New Roman" w:hAnsi="Times New Roman" w:cs="Times New Roman"/>
          <w:b/>
          <w:i/>
          <w:color w:val="215E99"/>
          <w:sz w:val="36"/>
          <w:szCs w:val="36"/>
        </w:rPr>
        <w:t>Janjatiya</w:t>
      </w:r>
      <w:proofErr w:type="spellEnd"/>
      <w:r>
        <w:rPr>
          <w:rFonts w:ascii="Times New Roman" w:eastAsia="Times New Roman" w:hAnsi="Times New Roman" w:cs="Times New Roman"/>
          <w:b/>
          <w:color w:val="215E99"/>
          <w:sz w:val="36"/>
          <w:szCs w:val="36"/>
        </w:rPr>
        <w:t xml:space="preserve"> Gaurav (Tribal Pride) National Seminar</w:t>
      </w:r>
    </w:p>
    <w:p w14:paraId="24262B54" w14:textId="77777777" w:rsidR="003934E1" w:rsidRDefault="003934E1">
      <w:pPr>
        <w:jc w:val="center"/>
        <w:rPr>
          <w:rFonts w:ascii="Times New Roman" w:eastAsia="Times New Roman" w:hAnsi="Times New Roman" w:cs="Times New Roman"/>
          <w:b/>
          <w:color w:val="215E99"/>
          <w:sz w:val="36"/>
          <w:szCs w:val="36"/>
        </w:rPr>
      </w:pPr>
    </w:p>
    <w:p w14:paraId="6758F4AE" w14:textId="77777777" w:rsidR="003934E1" w:rsidRDefault="00000000">
      <w:pPr>
        <w:jc w:val="center"/>
        <w:rPr>
          <w:rFonts w:ascii="Times New Roman" w:eastAsia="Times New Roman" w:hAnsi="Times New Roman" w:cs="Times New Roman"/>
          <w:b/>
          <w:color w:val="215E99"/>
          <w:sz w:val="36"/>
          <w:szCs w:val="36"/>
        </w:rPr>
      </w:pPr>
      <w:r>
        <w:rPr>
          <w:rFonts w:ascii="Times New Roman" w:eastAsia="Times New Roman" w:hAnsi="Times New Roman" w:cs="Times New Roman"/>
          <w:b/>
          <w:color w:val="215E99"/>
          <w:sz w:val="36"/>
          <w:szCs w:val="36"/>
        </w:rPr>
        <w:t>On</w:t>
      </w:r>
    </w:p>
    <w:p w14:paraId="5AAF95C5" w14:textId="77777777" w:rsidR="003934E1" w:rsidRDefault="003934E1">
      <w:pPr>
        <w:jc w:val="center"/>
        <w:rPr>
          <w:rFonts w:ascii="Times New Roman" w:eastAsia="Times New Roman" w:hAnsi="Times New Roman" w:cs="Times New Roman"/>
          <w:b/>
          <w:color w:val="215E99"/>
          <w:sz w:val="36"/>
          <w:szCs w:val="36"/>
        </w:rPr>
      </w:pPr>
    </w:p>
    <w:p w14:paraId="1D118940" w14:textId="77777777" w:rsidR="003934E1" w:rsidRDefault="00000000">
      <w:pPr>
        <w:jc w:val="center"/>
        <w:rPr>
          <w:rFonts w:ascii="Times New Roman" w:eastAsia="Times New Roman" w:hAnsi="Times New Roman" w:cs="Times New Roman"/>
          <w:b/>
          <w:color w:val="215E99"/>
          <w:sz w:val="36"/>
          <w:szCs w:val="36"/>
        </w:rPr>
      </w:pPr>
      <w:r>
        <w:rPr>
          <w:rFonts w:ascii="Times New Roman" w:eastAsia="Times New Roman" w:hAnsi="Times New Roman" w:cs="Times New Roman"/>
          <w:b/>
          <w:color w:val="215E99"/>
          <w:sz w:val="36"/>
          <w:szCs w:val="36"/>
        </w:rPr>
        <w:t>Decolonizing Tribal Studies: Life, Legacy and Heritage of Birsa Munda,</w:t>
      </w:r>
    </w:p>
    <w:p w14:paraId="44CB1831" w14:textId="77777777" w:rsidR="003934E1" w:rsidRDefault="003934E1">
      <w:pPr>
        <w:jc w:val="center"/>
        <w:rPr>
          <w:rFonts w:ascii="Times New Roman" w:eastAsia="Times New Roman" w:hAnsi="Times New Roman" w:cs="Times New Roman"/>
          <w:b/>
          <w:color w:val="215E99"/>
          <w:sz w:val="36"/>
          <w:szCs w:val="36"/>
        </w:rPr>
      </w:pPr>
    </w:p>
    <w:p w14:paraId="3E6BF5A1" w14:textId="77777777" w:rsidR="003934E1" w:rsidRDefault="00000000">
      <w:pPr>
        <w:jc w:val="center"/>
        <w:rPr>
          <w:rFonts w:ascii="Times New Roman" w:eastAsia="Times New Roman" w:hAnsi="Times New Roman" w:cs="Times New Roman"/>
          <w:b/>
          <w:color w:val="215E99"/>
          <w:sz w:val="36"/>
          <w:szCs w:val="36"/>
        </w:rPr>
      </w:pPr>
      <w:r>
        <w:rPr>
          <w:rFonts w:ascii="Times New Roman" w:eastAsia="Times New Roman" w:hAnsi="Times New Roman" w:cs="Times New Roman"/>
          <w:b/>
          <w:color w:val="215E99"/>
          <w:sz w:val="36"/>
          <w:szCs w:val="36"/>
        </w:rPr>
        <w:t>1875-1900</w:t>
      </w:r>
    </w:p>
    <w:p w14:paraId="4EBAF58F" w14:textId="77777777" w:rsidR="003934E1" w:rsidRDefault="003934E1">
      <w:pPr>
        <w:jc w:val="center"/>
        <w:rPr>
          <w:rFonts w:ascii="Times New Roman" w:eastAsia="Times New Roman" w:hAnsi="Times New Roman" w:cs="Times New Roman"/>
          <w:b/>
          <w:color w:val="215E99"/>
          <w:sz w:val="36"/>
          <w:szCs w:val="36"/>
        </w:rPr>
      </w:pPr>
    </w:p>
    <w:p w14:paraId="756B4125" w14:textId="77777777" w:rsidR="003934E1" w:rsidRDefault="00000000">
      <w:pPr>
        <w:jc w:val="center"/>
        <w:rPr>
          <w:rFonts w:ascii="Times New Roman" w:eastAsia="Times New Roman" w:hAnsi="Times New Roman" w:cs="Times New Roman"/>
          <w:b/>
          <w:color w:val="215E99"/>
          <w:sz w:val="36"/>
          <w:szCs w:val="36"/>
        </w:rPr>
      </w:pPr>
      <w:r>
        <w:rPr>
          <w:rFonts w:ascii="Times New Roman" w:eastAsia="Times New Roman" w:hAnsi="Times New Roman" w:cs="Times New Roman"/>
          <w:b/>
          <w:color w:val="215E99"/>
          <w:sz w:val="36"/>
          <w:szCs w:val="36"/>
        </w:rPr>
        <w:t>29th-30th July 2025</w:t>
      </w:r>
    </w:p>
    <w:p w14:paraId="2EAF0C3F" w14:textId="77777777" w:rsidR="003934E1" w:rsidRDefault="003934E1">
      <w:pPr>
        <w:rPr>
          <w:rFonts w:ascii="Times New Roman" w:eastAsia="Times New Roman" w:hAnsi="Times New Roman" w:cs="Times New Roman"/>
          <w:color w:val="215E99"/>
        </w:rPr>
      </w:pPr>
    </w:p>
    <w:p w14:paraId="0C75A4A2" w14:textId="77777777" w:rsidR="003934E1" w:rsidRDefault="003934E1">
      <w:pPr>
        <w:rPr>
          <w:rFonts w:ascii="Times New Roman" w:eastAsia="Times New Roman" w:hAnsi="Times New Roman" w:cs="Times New Roman"/>
          <w:color w:val="215E99"/>
        </w:rPr>
      </w:pPr>
    </w:p>
    <w:p w14:paraId="183982DE" w14:textId="77777777" w:rsidR="003934E1" w:rsidRDefault="003934E1">
      <w:pPr>
        <w:rPr>
          <w:rFonts w:ascii="Times New Roman" w:eastAsia="Times New Roman" w:hAnsi="Times New Roman" w:cs="Times New Roman"/>
          <w:color w:val="215E99"/>
        </w:rPr>
      </w:pPr>
    </w:p>
    <w:p w14:paraId="715E31F9" w14:textId="77777777" w:rsidR="003934E1" w:rsidRDefault="003934E1">
      <w:pPr>
        <w:rPr>
          <w:rFonts w:ascii="Times New Roman" w:eastAsia="Times New Roman" w:hAnsi="Times New Roman" w:cs="Times New Roman"/>
          <w:color w:val="215E99"/>
        </w:rPr>
      </w:pPr>
    </w:p>
    <w:p w14:paraId="45B0078E" w14:textId="77777777" w:rsidR="003934E1" w:rsidRDefault="003934E1">
      <w:pPr>
        <w:rPr>
          <w:rFonts w:ascii="Times New Roman" w:eastAsia="Times New Roman" w:hAnsi="Times New Roman" w:cs="Times New Roman"/>
          <w:color w:val="215E99"/>
        </w:rPr>
      </w:pPr>
    </w:p>
    <w:p w14:paraId="0D1EB439" w14:textId="77777777" w:rsidR="003934E1" w:rsidRDefault="003934E1">
      <w:pPr>
        <w:rPr>
          <w:rFonts w:ascii="Times New Roman" w:eastAsia="Times New Roman" w:hAnsi="Times New Roman" w:cs="Times New Roman"/>
          <w:color w:val="215E99"/>
        </w:rPr>
      </w:pPr>
    </w:p>
    <w:p w14:paraId="6DF495D1" w14:textId="77777777" w:rsidR="003934E1" w:rsidRDefault="003934E1">
      <w:pPr>
        <w:rPr>
          <w:rFonts w:ascii="Times New Roman" w:eastAsia="Times New Roman" w:hAnsi="Times New Roman" w:cs="Times New Roman"/>
          <w:color w:val="215E99"/>
        </w:rPr>
      </w:pPr>
    </w:p>
    <w:p w14:paraId="5445CF28" w14:textId="77777777" w:rsidR="003934E1" w:rsidRDefault="003934E1">
      <w:pPr>
        <w:rPr>
          <w:rFonts w:ascii="Times New Roman" w:eastAsia="Times New Roman" w:hAnsi="Times New Roman" w:cs="Times New Roman"/>
          <w:color w:val="215E99"/>
        </w:rPr>
      </w:pPr>
    </w:p>
    <w:p w14:paraId="15290CB9" w14:textId="77777777" w:rsidR="003934E1" w:rsidRDefault="00000000">
      <w:pPr>
        <w:rPr>
          <w:rFonts w:ascii="Times New Roman" w:eastAsia="Times New Roman" w:hAnsi="Times New Roman" w:cs="Times New Roman"/>
          <w:b/>
          <w:color w:val="215E99"/>
        </w:rPr>
      </w:pPr>
      <w:r>
        <w:rPr>
          <w:rFonts w:ascii="Times New Roman" w:eastAsia="Times New Roman" w:hAnsi="Times New Roman" w:cs="Times New Roman"/>
          <w:b/>
          <w:color w:val="215E99"/>
          <w:u w:val="single"/>
        </w:rPr>
        <w:t>Patron</w:t>
      </w:r>
      <w:r>
        <w:rPr>
          <w:rFonts w:ascii="Times New Roman" w:eastAsia="Times New Roman" w:hAnsi="Times New Roman" w:cs="Times New Roman"/>
          <w:b/>
          <w:color w:val="215E99"/>
        </w:rPr>
        <w:t>:</w:t>
      </w:r>
    </w:p>
    <w:p w14:paraId="62D9CADB" w14:textId="77777777" w:rsidR="003934E1" w:rsidRDefault="00000000">
      <w:pPr>
        <w:rPr>
          <w:rFonts w:ascii="Times New Roman" w:eastAsia="Times New Roman" w:hAnsi="Times New Roman" w:cs="Times New Roman"/>
          <w:b/>
          <w:color w:val="215E99"/>
        </w:rPr>
      </w:pPr>
      <w:r>
        <w:rPr>
          <w:rFonts w:ascii="Times New Roman" w:eastAsia="Times New Roman" w:hAnsi="Times New Roman" w:cs="Times New Roman"/>
          <w:b/>
          <w:color w:val="215E99"/>
        </w:rPr>
        <w:t xml:space="preserve">Dr. (Sr) Molly Abraham (Acting Principal), JMC </w:t>
      </w:r>
    </w:p>
    <w:p w14:paraId="58480F7F" w14:textId="77777777" w:rsidR="003934E1" w:rsidRDefault="00000000">
      <w:pPr>
        <w:rPr>
          <w:rFonts w:ascii="Times New Roman" w:eastAsia="Times New Roman" w:hAnsi="Times New Roman" w:cs="Times New Roman"/>
          <w:b/>
          <w:color w:val="215E99"/>
        </w:rPr>
      </w:pPr>
      <w:r>
        <w:rPr>
          <w:rFonts w:ascii="Times New Roman" w:eastAsia="Times New Roman" w:hAnsi="Times New Roman" w:cs="Times New Roman"/>
          <w:b/>
          <w:color w:val="215E99"/>
        </w:rPr>
        <w:t>(Email: principal@jmc.ac.in)</w:t>
      </w:r>
    </w:p>
    <w:p w14:paraId="5F87501B" w14:textId="77777777" w:rsidR="003934E1" w:rsidRDefault="003934E1">
      <w:pPr>
        <w:rPr>
          <w:rFonts w:ascii="Times New Roman" w:eastAsia="Times New Roman" w:hAnsi="Times New Roman" w:cs="Times New Roman"/>
          <w:b/>
          <w:color w:val="215E99"/>
        </w:rPr>
      </w:pPr>
    </w:p>
    <w:p w14:paraId="6518F4E5" w14:textId="77777777" w:rsidR="003934E1" w:rsidRDefault="00000000">
      <w:pPr>
        <w:rPr>
          <w:rFonts w:ascii="Times New Roman" w:eastAsia="Times New Roman" w:hAnsi="Times New Roman" w:cs="Times New Roman"/>
          <w:b/>
          <w:color w:val="215E99"/>
        </w:rPr>
      </w:pPr>
      <w:r>
        <w:rPr>
          <w:rFonts w:ascii="Times New Roman" w:eastAsia="Times New Roman" w:hAnsi="Times New Roman" w:cs="Times New Roman"/>
          <w:b/>
          <w:color w:val="215E99"/>
          <w:u w:val="single"/>
        </w:rPr>
        <w:t>National Seminar Convenors</w:t>
      </w:r>
      <w:r>
        <w:rPr>
          <w:rFonts w:ascii="Times New Roman" w:eastAsia="Times New Roman" w:hAnsi="Times New Roman" w:cs="Times New Roman"/>
          <w:b/>
          <w:color w:val="215E99"/>
        </w:rPr>
        <w:t>:</w:t>
      </w:r>
    </w:p>
    <w:p w14:paraId="0977F446" w14:textId="77777777" w:rsidR="003934E1" w:rsidRDefault="00000000">
      <w:pPr>
        <w:rPr>
          <w:rFonts w:ascii="Times New Roman" w:eastAsia="Times New Roman" w:hAnsi="Times New Roman" w:cs="Times New Roman"/>
          <w:b/>
          <w:color w:val="215E99"/>
        </w:rPr>
      </w:pPr>
      <w:r>
        <w:rPr>
          <w:rFonts w:ascii="Times New Roman" w:eastAsia="Times New Roman" w:hAnsi="Times New Roman" w:cs="Times New Roman"/>
          <w:b/>
          <w:color w:val="215E99"/>
        </w:rPr>
        <w:t>Dr. Bipasha Rosy Lakra, Assistant Professor, Department of Political Science, JMC (Email: brlakra@jmc.du.ac.in)</w:t>
      </w:r>
    </w:p>
    <w:p w14:paraId="59E2D74D" w14:textId="77777777" w:rsidR="003934E1" w:rsidRDefault="00000000">
      <w:pPr>
        <w:rPr>
          <w:rFonts w:ascii="Times New Roman" w:eastAsia="Times New Roman" w:hAnsi="Times New Roman" w:cs="Times New Roman"/>
          <w:b/>
          <w:color w:val="215E99"/>
        </w:rPr>
      </w:pPr>
      <w:r>
        <w:rPr>
          <w:rFonts w:ascii="Times New Roman" w:eastAsia="Times New Roman" w:hAnsi="Times New Roman" w:cs="Times New Roman"/>
          <w:b/>
          <w:color w:val="215E99"/>
        </w:rPr>
        <w:t>brlakra@jmc.du.ac.in</w:t>
      </w:r>
    </w:p>
    <w:p w14:paraId="6E6A95D0" w14:textId="77777777" w:rsidR="003934E1" w:rsidRDefault="00000000">
      <w:pPr>
        <w:rPr>
          <w:rFonts w:ascii="Times New Roman" w:eastAsia="Times New Roman" w:hAnsi="Times New Roman" w:cs="Times New Roman"/>
          <w:b/>
          <w:color w:val="215E99"/>
        </w:rPr>
      </w:pPr>
      <w:r>
        <w:rPr>
          <w:rFonts w:ascii="Times New Roman" w:eastAsia="Times New Roman" w:hAnsi="Times New Roman" w:cs="Times New Roman"/>
          <w:b/>
          <w:color w:val="215E99"/>
        </w:rPr>
        <w:t>Dr. Juhi Rose Vandana Minz, Assistant Professor, Department of English, JMC (Email:</w:t>
      </w:r>
    </w:p>
    <w:p w14:paraId="0A023B89" w14:textId="77777777" w:rsidR="003934E1" w:rsidRDefault="00000000">
      <w:pPr>
        <w:rPr>
          <w:rFonts w:ascii="Times New Roman" w:eastAsia="Times New Roman" w:hAnsi="Times New Roman" w:cs="Times New Roman"/>
          <w:b/>
          <w:color w:val="215E99"/>
        </w:rPr>
      </w:pPr>
      <w:r>
        <w:rPr>
          <w:rFonts w:ascii="Times New Roman" w:eastAsia="Times New Roman" w:hAnsi="Times New Roman" w:cs="Times New Roman"/>
          <w:b/>
          <w:color w:val="215E99"/>
        </w:rPr>
        <w:t>jrvminz@jmc.du.ac.in</w:t>
      </w:r>
    </w:p>
    <w:p w14:paraId="12B2AAB3" w14:textId="77777777" w:rsidR="003934E1" w:rsidRDefault="003934E1">
      <w:pPr>
        <w:spacing w:line="276" w:lineRule="auto"/>
        <w:rPr>
          <w:rFonts w:ascii="Times New Roman" w:eastAsia="Times New Roman" w:hAnsi="Times New Roman" w:cs="Times New Roman"/>
          <w:color w:val="215E99"/>
        </w:rPr>
      </w:pPr>
    </w:p>
    <w:p w14:paraId="6B4B43C8" w14:textId="77777777" w:rsidR="003934E1" w:rsidRDefault="00000000">
      <w:pPr>
        <w:spacing w:line="276" w:lineRule="auto"/>
        <w:jc w:val="center"/>
        <w:rPr>
          <w:rFonts w:ascii="Times New Roman" w:eastAsia="Times New Roman" w:hAnsi="Times New Roman" w:cs="Times New Roman"/>
          <w:b/>
          <w:color w:val="215E99"/>
        </w:rPr>
      </w:pPr>
      <w:r>
        <w:rPr>
          <w:rFonts w:ascii="Times New Roman" w:eastAsia="Times New Roman" w:hAnsi="Times New Roman" w:cs="Times New Roman"/>
          <w:b/>
          <w:color w:val="215E99"/>
        </w:rPr>
        <w:t>ICSSR-JMC National Seminar</w:t>
      </w:r>
    </w:p>
    <w:p w14:paraId="417436AF" w14:textId="77777777" w:rsidR="003934E1" w:rsidRDefault="00000000">
      <w:pPr>
        <w:pBdr>
          <w:top w:val="nil"/>
          <w:left w:val="nil"/>
          <w:bottom w:val="nil"/>
          <w:right w:val="nil"/>
          <w:between w:val="nil"/>
        </w:pBdr>
        <w:spacing w:before="280" w:after="280" w:line="36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Decolonizing Tribal Studies: Life, Legacy and Heritage of Birsa Munda 1875-1900</w:t>
      </w:r>
    </w:p>
    <w:p w14:paraId="2262A820" w14:textId="77777777" w:rsidR="003934E1"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Birsa Munda’s </w:t>
      </w:r>
      <w:proofErr w:type="spellStart"/>
      <w:r>
        <w:rPr>
          <w:rFonts w:ascii="Times New Roman" w:eastAsia="Times New Roman" w:hAnsi="Times New Roman" w:cs="Times New Roman"/>
          <w:i/>
          <w:color w:val="000000"/>
        </w:rPr>
        <w:t>Ulgulan</w:t>
      </w:r>
      <w:proofErr w:type="spellEnd"/>
      <w:r>
        <w:rPr>
          <w:rFonts w:ascii="Times New Roman" w:eastAsia="Times New Roman" w:hAnsi="Times New Roman" w:cs="Times New Roman"/>
          <w:color w:val="000000"/>
        </w:rPr>
        <w:t xml:space="preserve"> rebellion represented a pivotal moment in the history of tribal resistance against British colonial rule, distinguishing itself from earlier uprisings through its unique synthesis of religious </w:t>
      </w:r>
      <w:proofErr w:type="spellStart"/>
      <w:r>
        <w:rPr>
          <w:rFonts w:ascii="Times New Roman" w:eastAsia="Times New Roman" w:hAnsi="Times New Roman" w:cs="Times New Roman"/>
          <w:color w:val="000000"/>
        </w:rPr>
        <w:t>fervor</w:t>
      </w:r>
      <w:proofErr w:type="spellEnd"/>
      <w:r>
        <w:rPr>
          <w:rFonts w:ascii="Times New Roman" w:eastAsia="Times New Roman" w:hAnsi="Times New Roman" w:cs="Times New Roman"/>
          <w:color w:val="000000"/>
        </w:rPr>
        <w:t xml:space="preserve"> and socio-political mobilization. While preceding revolts, such as the Kol Rebellion and the Santhal Revolt, primarily reacted to the usurpation of Adivasi land by both colonial authorities and the </w:t>
      </w:r>
      <w:proofErr w:type="spellStart"/>
      <w:r>
        <w:rPr>
          <w:rFonts w:ascii="Times New Roman" w:eastAsia="Times New Roman" w:hAnsi="Times New Roman" w:cs="Times New Roman"/>
          <w:i/>
          <w:color w:val="000000"/>
        </w:rPr>
        <w:t>dikus</w:t>
      </w:r>
      <w:proofErr w:type="spellEnd"/>
      <w:r>
        <w:rPr>
          <w:rFonts w:ascii="Times New Roman" w:eastAsia="Times New Roman" w:hAnsi="Times New Roman" w:cs="Times New Roman"/>
          <w:color w:val="000000"/>
        </w:rPr>
        <w:t xml:space="preserve"> (outsiders), Birsa Munda adopted a more sophisticated, culturally-rooted strategy. By embracing elements of both Christianity and Hinduism and proclaiming himself a divine incarnation, Munda successfully transcended the fractured nature of past insurrections. He utilized this spiritual authority to unify the disparate tribal communities, consolidating them into a singular, cohesive movement aimed at achieving political and economic liberation from the bonds of external oppression. His ability to transform religious belief into a powerful instrument of resistance created a formidable force that, while ultimately suppressed, exposed the severity of the agrarian and social injustices plaguing the </w:t>
      </w:r>
      <w:proofErr w:type="spellStart"/>
      <w:r>
        <w:rPr>
          <w:rFonts w:ascii="Times New Roman" w:eastAsia="Times New Roman" w:hAnsi="Times New Roman" w:cs="Times New Roman"/>
          <w:color w:val="000000"/>
        </w:rPr>
        <w:t>Chotanagpur</w:t>
      </w:r>
      <w:proofErr w:type="spellEnd"/>
      <w:r>
        <w:rPr>
          <w:rFonts w:ascii="Times New Roman" w:eastAsia="Times New Roman" w:hAnsi="Times New Roman" w:cs="Times New Roman"/>
          <w:color w:val="000000"/>
        </w:rPr>
        <w:t xml:space="preserve"> region.</w:t>
      </w:r>
    </w:p>
    <w:p w14:paraId="3DD89137" w14:textId="77777777" w:rsidR="003934E1" w:rsidRDefault="0000000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enduring significance of the Munda Rebellion lies not only in its immediate, tangible successes but also in its profound long-term impact on Adivasi identity and political consciousness. Following the intense conflict and Birsa Munda’s death, the colonial administration was compelled to enact significant reforms, including the restoration of the </w:t>
      </w:r>
      <w:proofErr w:type="spellStart"/>
      <w:r>
        <w:rPr>
          <w:rFonts w:ascii="Times New Roman" w:eastAsia="Times New Roman" w:hAnsi="Times New Roman" w:cs="Times New Roman"/>
          <w:i/>
          <w:color w:val="000000"/>
        </w:rPr>
        <w:t>Khuntkatti</w:t>
      </w:r>
      <w:proofErr w:type="spellEnd"/>
      <w:r>
        <w:rPr>
          <w:rFonts w:ascii="Times New Roman" w:eastAsia="Times New Roman" w:hAnsi="Times New Roman" w:cs="Times New Roman"/>
          <w:color w:val="000000"/>
        </w:rPr>
        <w:t xml:space="preserve"> system (tribal land autonomy) and the abolition of </w:t>
      </w:r>
      <w:proofErr w:type="spellStart"/>
      <w:r>
        <w:rPr>
          <w:rFonts w:ascii="Times New Roman" w:eastAsia="Times New Roman" w:hAnsi="Times New Roman" w:cs="Times New Roman"/>
          <w:i/>
          <w:color w:val="000000"/>
        </w:rPr>
        <w:t>Bethbegari</w:t>
      </w:r>
      <w:proofErr w:type="spellEnd"/>
      <w:r>
        <w:rPr>
          <w:rFonts w:ascii="Times New Roman" w:eastAsia="Times New Roman" w:hAnsi="Times New Roman" w:cs="Times New Roman"/>
          <w:color w:val="000000"/>
        </w:rPr>
        <w:t xml:space="preserve"> (forced unpaid </w:t>
      </w:r>
      <w:proofErr w:type="spellStart"/>
      <w:r>
        <w:rPr>
          <w:rFonts w:ascii="Times New Roman" w:eastAsia="Times New Roman" w:hAnsi="Times New Roman" w:cs="Times New Roman"/>
          <w:color w:val="000000"/>
        </w:rPr>
        <w:t>labor</w:t>
      </w:r>
      <w:proofErr w:type="spellEnd"/>
      <w:r>
        <w:rPr>
          <w:rFonts w:ascii="Times New Roman" w:eastAsia="Times New Roman" w:hAnsi="Times New Roman" w:cs="Times New Roman"/>
          <w:color w:val="000000"/>
        </w:rPr>
        <w:t xml:space="preserve">) through the </w:t>
      </w:r>
      <w:proofErr w:type="spellStart"/>
      <w:r>
        <w:rPr>
          <w:rFonts w:ascii="Times New Roman" w:eastAsia="Times New Roman" w:hAnsi="Times New Roman" w:cs="Times New Roman"/>
          <w:color w:val="000000"/>
        </w:rPr>
        <w:t>Chotanagpur</w:t>
      </w:r>
      <w:proofErr w:type="spellEnd"/>
      <w:r>
        <w:rPr>
          <w:rFonts w:ascii="Times New Roman" w:eastAsia="Times New Roman" w:hAnsi="Times New Roman" w:cs="Times New Roman"/>
          <w:color w:val="000000"/>
        </w:rPr>
        <w:t xml:space="preserve"> Tenancy Act of 1908. More importantly, the rebellion and other similar uprisings fostered a powerful sense of “ethnic nationalism” among tribal communities, providing a shared history of resistance and pride. This collective memory became a foundational pillar for future political movements. In the post-colonial era, educated tribals invoked Birsa Munda’s legacy to pioneer the idea of Jharkhand, transforming his memory from a local symbol of resistance into a national icon whose contributions are integral to the cultural history of modern India.</w:t>
      </w:r>
    </w:p>
    <w:p w14:paraId="3847D0A9" w14:textId="77777777" w:rsidR="003934E1" w:rsidRDefault="003934E1">
      <w:pPr>
        <w:spacing w:line="360" w:lineRule="auto"/>
        <w:jc w:val="both"/>
      </w:pPr>
    </w:p>
    <w:p w14:paraId="361CA987" w14:textId="77777777" w:rsidR="003934E1" w:rsidRDefault="003934E1">
      <w:pPr>
        <w:spacing w:line="276" w:lineRule="auto"/>
        <w:jc w:val="center"/>
        <w:rPr>
          <w:rFonts w:ascii="Times New Roman" w:eastAsia="Times New Roman" w:hAnsi="Times New Roman" w:cs="Times New Roman"/>
          <w:b/>
        </w:rPr>
      </w:pPr>
    </w:p>
    <w:p w14:paraId="04A07A7C" w14:textId="77777777" w:rsidR="003934E1" w:rsidRDefault="003934E1">
      <w:pPr>
        <w:spacing w:line="276" w:lineRule="auto"/>
        <w:rPr>
          <w:rFonts w:ascii="Times New Roman" w:eastAsia="Times New Roman" w:hAnsi="Times New Roman" w:cs="Times New Roman"/>
          <w:b/>
        </w:rPr>
      </w:pPr>
    </w:p>
    <w:p w14:paraId="1B87A3BE" w14:textId="77777777" w:rsidR="003934E1" w:rsidRDefault="003934E1">
      <w:pPr>
        <w:spacing w:line="276" w:lineRule="auto"/>
        <w:jc w:val="center"/>
        <w:rPr>
          <w:rFonts w:ascii="Times New Roman" w:eastAsia="Times New Roman" w:hAnsi="Times New Roman" w:cs="Times New Roman"/>
          <w:b/>
        </w:rPr>
      </w:pPr>
    </w:p>
    <w:p w14:paraId="3DA16872" w14:textId="77777777" w:rsidR="003934E1" w:rsidRDefault="003934E1">
      <w:pPr>
        <w:spacing w:line="276" w:lineRule="auto"/>
        <w:rPr>
          <w:rFonts w:ascii="Times New Roman" w:eastAsia="Times New Roman" w:hAnsi="Times New Roman" w:cs="Times New Roman"/>
          <w:b/>
          <w:i/>
        </w:rPr>
      </w:pPr>
    </w:p>
    <w:p w14:paraId="7430AEA2" w14:textId="77777777" w:rsidR="003934E1" w:rsidRDefault="003934E1">
      <w:pPr>
        <w:spacing w:line="276" w:lineRule="auto"/>
        <w:rPr>
          <w:rFonts w:ascii="Times New Roman" w:eastAsia="Times New Roman" w:hAnsi="Times New Roman" w:cs="Times New Roman"/>
          <w:b/>
          <w:i/>
        </w:rPr>
      </w:pPr>
    </w:p>
    <w:p w14:paraId="0AA87929" w14:textId="77777777" w:rsidR="003934E1"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About the Seminar:</w:t>
      </w:r>
      <w:r>
        <w:rPr>
          <w:rFonts w:ascii="Times New Roman" w:eastAsia="Times New Roman" w:hAnsi="Times New Roman" w:cs="Times New Roman"/>
        </w:rPr>
        <w:t xml:space="preserve"> </w:t>
      </w:r>
    </w:p>
    <w:p w14:paraId="7C3CDA8E" w14:textId="77777777" w:rsidR="003934E1" w:rsidRDefault="003934E1">
      <w:pPr>
        <w:spacing w:line="276" w:lineRule="auto"/>
        <w:rPr>
          <w:rFonts w:ascii="Times New Roman" w:eastAsia="Times New Roman" w:hAnsi="Times New Roman" w:cs="Times New Roman"/>
        </w:rPr>
      </w:pPr>
    </w:p>
    <w:p w14:paraId="4599706C"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i/>
        </w:rPr>
        <w:t>“Decolonizing Tribal Studies: Life, Legacy and Heritage of Birsa Munda (1875–1900)”</w:t>
      </w:r>
      <w:r>
        <w:rPr>
          <w:rFonts w:ascii="Times New Roman" w:eastAsia="Times New Roman" w:hAnsi="Times New Roman" w:cs="Times New Roman"/>
        </w:rPr>
        <w:t xml:space="preserve"> held on 29th &amp; 30th July 2025 at Jesus and Mary College, University of Delhi. The seminar was organized in collaboration with the Indian Council of Social Science Research (ICSSR). This two-day national seminar provided a vital platform to engage with tribal epistemologies, resistance, and indigenous legacies by revisiting the life and thought of Birsa Munda. The event featured keynote addresses, expert panels, technical paper presentations, a documentary screening, and open discussions.</w:t>
      </w:r>
    </w:p>
    <w:p w14:paraId="2A7ABC39" w14:textId="77777777" w:rsidR="003934E1" w:rsidRDefault="003934E1">
      <w:pPr>
        <w:spacing w:line="276" w:lineRule="auto"/>
        <w:jc w:val="both"/>
        <w:rPr>
          <w:rFonts w:ascii="Times New Roman" w:eastAsia="Times New Roman" w:hAnsi="Times New Roman" w:cs="Times New Roman"/>
        </w:rPr>
      </w:pPr>
    </w:p>
    <w:p w14:paraId="41939A25" w14:textId="77777777" w:rsidR="003934E1" w:rsidRDefault="003934E1">
      <w:pPr>
        <w:spacing w:line="276" w:lineRule="auto"/>
        <w:jc w:val="both"/>
        <w:rPr>
          <w:rFonts w:ascii="Times New Roman" w:eastAsia="Times New Roman" w:hAnsi="Times New Roman" w:cs="Times New Roman"/>
        </w:rPr>
      </w:pPr>
    </w:p>
    <w:p w14:paraId="568D4333" w14:textId="77777777" w:rsidR="003934E1" w:rsidRDefault="003934E1">
      <w:pPr>
        <w:spacing w:line="276" w:lineRule="auto"/>
        <w:jc w:val="both"/>
        <w:rPr>
          <w:rFonts w:ascii="Times New Roman" w:eastAsia="Times New Roman" w:hAnsi="Times New Roman" w:cs="Times New Roman"/>
        </w:rPr>
      </w:pPr>
    </w:p>
    <w:p w14:paraId="0457D97E" w14:textId="77777777" w:rsidR="003934E1" w:rsidRDefault="003934E1">
      <w:pPr>
        <w:spacing w:line="276" w:lineRule="auto"/>
        <w:jc w:val="both"/>
        <w:rPr>
          <w:rFonts w:ascii="Times New Roman" w:eastAsia="Times New Roman" w:hAnsi="Times New Roman" w:cs="Times New Roman"/>
        </w:rPr>
      </w:pPr>
    </w:p>
    <w:p w14:paraId="393F61B5"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ICSSR Sponsored National Seminar “Decolonizing Tribal Studies: Life, Legacy and Heritage of Birsa Munda 1875-1900”, 29th&amp;30th July 2025, Jesus and Mary College</w:t>
      </w:r>
    </w:p>
    <w:p w14:paraId="4F9439AA" w14:textId="77777777" w:rsidR="003934E1" w:rsidRDefault="00000000">
      <w:pPr>
        <w:jc w:val="center"/>
        <w:rPr>
          <w:rFonts w:ascii="Times New Roman" w:eastAsia="Times New Roman" w:hAnsi="Times New Roman" w:cs="Times New Roman"/>
          <w:b/>
          <w:color w:val="4A86E8"/>
        </w:rPr>
      </w:pPr>
      <w:r>
        <w:rPr>
          <w:rFonts w:ascii="Times New Roman" w:eastAsia="Times New Roman" w:hAnsi="Times New Roman" w:cs="Times New Roman"/>
          <w:b/>
          <w:color w:val="4A86E8"/>
        </w:rPr>
        <w:t>Seminar Schedule and List of Actual Participants of the Seminar</w:t>
      </w:r>
    </w:p>
    <w:p w14:paraId="04751198" w14:textId="77777777" w:rsidR="003934E1" w:rsidRDefault="003934E1">
      <w:pPr>
        <w:jc w:val="center"/>
        <w:rPr>
          <w:rFonts w:ascii="Times New Roman" w:eastAsia="Times New Roman" w:hAnsi="Times New Roman" w:cs="Times New Roman"/>
          <w:b/>
        </w:rPr>
      </w:pPr>
    </w:p>
    <w:p w14:paraId="1A3097BD"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Day 1</w:t>
      </w:r>
    </w:p>
    <w:p w14:paraId="5539E4E2" w14:textId="77777777" w:rsidR="003934E1" w:rsidRDefault="003934E1">
      <w:pPr>
        <w:jc w:val="center"/>
        <w:rPr>
          <w:rFonts w:ascii="Times New Roman" w:eastAsia="Times New Roman" w:hAnsi="Times New Roman" w:cs="Times New Roman"/>
        </w:rPr>
      </w:pPr>
    </w:p>
    <w:tbl>
      <w:tblPr>
        <w:tblStyle w:val="a"/>
        <w:tblW w:w="9840" w:type="dxa"/>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5055"/>
      </w:tblGrid>
      <w:tr w:rsidR="003934E1" w14:paraId="10F2A36D" w14:textId="77777777">
        <w:tc>
          <w:tcPr>
            <w:tcW w:w="4785" w:type="dxa"/>
          </w:tcPr>
          <w:p w14:paraId="290E86EC"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Registration</w:t>
            </w:r>
          </w:p>
        </w:tc>
        <w:tc>
          <w:tcPr>
            <w:tcW w:w="5055" w:type="dxa"/>
          </w:tcPr>
          <w:p w14:paraId="2D5AD6E4"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8.30 a.m-9.30 a.m.</w:t>
            </w:r>
          </w:p>
        </w:tc>
      </w:tr>
      <w:tr w:rsidR="003934E1" w14:paraId="6AA2FC62" w14:textId="77777777">
        <w:tc>
          <w:tcPr>
            <w:tcW w:w="4785" w:type="dxa"/>
            <w:shd w:val="clear" w:color="auto" w:fill="FFFF00"/>
          </w:tcPr>
          <w:p w14:paraId="477441B9"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Venue</w:t>
            </w:r>
          </w:p>
        </w:tc>
        <w:tc>
          <w:tcPr>
            <w:tcW w:w="5055" w:type="dxa"/>
            <w:shd w:val="clear" w:color="auto" w:fill="FFFF00"/>
          </w:tcPr>
          <w:p w14:paraId="520A27BA"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 Seminar Hall Third Floor</w:t>
            </w:r>
          </w:p>
        </w:tc>
      </w:tr>
      <w:tr w:rsidR="003934E1" w14:paraId="7BBCFA88" w14:textId="77777777">
        <w:tc>
          <w:tcPr>
            <w:tcW w:w="4785" w:type="dxa"/>
          </w:tcPr>
          <w:p w14:paraId="09B93870"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Inaugural: Dr. Bipasha R. Lakra &amp; Dr. Juhi Rose V. Minz</w:t>
            </w:r>
          </w:p>
        </w:tc>
        <w:tc>
          <w:tcPr>
            <w:tcW w:w="5055" w:type="dxa"/>
          </w:tcPr>
          <w:p w14:paraId="21B6C554"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9.30 a.m-9.45 a.m.</w:t>
            </w:r>
          </w:p>
        </w:tc>
      </w:tr>
      <w:tr w:rsidR="003934E1" w14:paraId="1FD0B7CC" w14:textId="77777777">
        <w:tc>
          <w:tcPr>
            <w:tcW w:w="4785" w:type="dxa"/>
          </w:tcPr>
          <w:p w14:paraId="1BE43D80"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Speech by Principal, JMC, DU</w:t>
            </w:r>
          </w:p>
        </w:tc>
        <w:tc>
          <w:tcPr>
            <w:tcW w:w="5055" w:type="dxa"/>
          </w:tcPr>
          <w:p w14:paraId="1E18285A"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9.45 am-10 a.m.</w:t>
            </w:r>
          </w:p>
        </w:tc>
      </w:tr>
      <w:tr w:rsidR="003934E1" w14:paraId="50E9A372" w14:textId="77777777">
        <w:tc>
          <w:tcPr>
            <w:tcW w:w="4785" w:type="dxa"/>
            <w:shd w:val="clear" w:color="auto" w:fill="F9CB9C"/>
          </w:tcPr>
          <w:p w14:paraId="2527E24E"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Speech by Chief Guest: Prof. </w:t>
            </w:r>
            <w:proofErr w:type="spellStart"/>
            <w:r>
              <w:rPr>
                <w:rFonts w:ascii="Times New Roman" w:eastAsia="Times New Roman" w:hAnsi="Times New Roman" w:cs="Times New Roman"/>
              </w:rPr>
              <w:t>Sonajharia</w:t>
            </w:r>
            <w:proofErr w:type="spellEnd"/>
            <w:r>
              <w:rPr>
                <w:rFonts w:ascii="Times New Roman" w:eastAsia="Times New Roman" w:hAnsi="Times New Roman" w:cs="Times New Roman"/>
              </w:rPr>
              <w:t xml:space="preserve"> Minz</w:t>
            </w:r>
          </w:p>
        </w:tc>
        <w:tc>
          <w:tcPr>
            <w:tcW w:w="5055" w:type="dxa"/>
            <w:shd w:val="clear" w:color="auto" w:fill="F9CB9C"/>
          </w:tcPr>
          <w:p w14:paraId="062191F9"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10 a.m.-10.30 a.m.</w:t>
            </w:r>
          </w:p>
        </w:tc>
      </w:tr>
      <w:tr w:rsidR="003934E1" w14:paraId="344D03C5" w14:textId="77777777">
        <w:tc>
          <w:tcPr>
            <w:tcW w:w="4785" w:type="dxa"/>
            <w:shd w:val="clear" w:color="auto" w:fill="93C47D"/>
          </w:tcPr>
          <w:p w14:paraId="2E3029C7"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Keynote Address : Prof. G.N. Devy</w:t>
            </w:r>
          </w:p>
        </w:tc>
        <w:tc>
          <w:tcPr>
            <w:tcW w:w="5055" w:type="dxa"/>
            <w:shd w:val="clear" w:color="auto" w:fill="93C47D"/>
          </w:tcPr>
          <w:p w14:paraId="08BF7736"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10.30 a.m-11.15 a.m.</w:t>
            </w:r>
          </w:p>
        </w:tc>
      </w:tr>
      <w:tr w:rsidR="003934E1" w14:paraId="47FB63C8" w14:textId="77777777">
        <w:tc>
          <w:tcPr>
            <w:tcW w:w="4785" w:type="dxa"/>
            <w:shd w:val="clear" w:color="auto" w:fill="DD7E6B"/>
          </w:tcPr>
          <w:p w14:paraId="09967C67"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High Tea</w:t>
            </w:r>
          </w:p>
        </w:tc>
        <w:tc>
          <w:tcPr>
            <w:tcW w:w="5055" w:type="dxa"/>
            <w:shd w:val="clear" w:color="auto" w:fill="DD7E6B"/>
          </w:tcPr>
          <w:p w14:paraId="6D2F3B1B"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11.15 a.m-11.30 a.m. Common Room Gr. Floor</w:t>
            </w:r>
          </w:p>
        </w:tc>
      </w:tr>
      <w:tr w:rsidR="003934E1" w14:paraId="2D8745B1" w14:textId="77777777">
        <w:tc>
          <w:tcPr>
            <w:tcW w:w="4785" w:type="dxa"/>
          </w:tcPr>
          <w:p w14:paraId="122FDBEE" w14:textId="77777777" w:rsidR="003934E1" w:rsidRDefault="003934E1">
            <w:pPr>
              <w:rPr>
                <w:rFonts w:ascii="Times New Roman" w:eastAsia="Times New Roman" w:hAnsi="Times New Roman" w:cs="Times New Roman"/>
              </w:rPr>
            </w:pPr>
          </w:p>
        </w:tc>
        <w:tc>
          <w:tcPr>
            <w:tcW w:w="5055" w:type="dxa"/>
          </w:tcPr>
          <w:p w14:paraId="5114FEFE" w14:textId="77777777" w:rsidR="003934E1" w:rsidRDefault="003934E1">
            <w:pPr>
              <w:jc w:val="center"/>
              <w:rPr>
                <w:rFonts w:ascii="Times New Roman" w:eastAsia="Times New Roman" w:hAnsi="Times New Roman" w:cs="Times New Roman"/>
              </w:rPr>
            </w:pPr>
          </w:p>
        </w:tc>
      </w:tr>
      <w:tr w:rsidR="003934E1" w14:paraId="11290E91" w14:textId="77777777">
        <w:tc>
          <w:tcPr>
            <w:tcW w:w="4785" w:type="dxa"/>
            <w:shd w:val="clear" w:color="auto" w:fill="FFF2CC"/>
          </w:tcPr>
          <w:p w14:paraId="398974F6"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Expert Panel 1</w:t>
            </w:r>
          </w:p>
        </w:tc>
        <w:tc>
          <w:tcPr>
            <w:tcW w:w="5055" w:type="dxa"/>
            <w:shd w:val="clear" w:color="auto" w:fill="FFF2CC"/>
          </w:tcPr>
          <w:p w14:paraId="6958DD27"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11.30 a.m.- 1 p.m.</w:t>
            </w:r>
          </w:p>
        </w:tc>
      </w:tr>
      <w:tr w:rsidR="003934E1" w14:paraId="07877791" w14:textId="77777777">
        <w:tc>
          <w:tcPr>
            <w:tcW w:w="4785" w:type="dxa"/>
          </w:tcPr>
          <w:p w14:paraId="6F208BA4"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Prof. Virginius </w:t>
            </w: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IHT, Delhi</w:t>
            </w:r>
          </w:p>
        </w:tc>
        <w:tc>
          <w:tcPr>
            <w:tcW w:w="5055" w:type="dxa"/>
            <w:shd w:val="clear" w:color="auto" w:fill="F4CCCC"/>
          </w:tcPr>
          <w:p w14:paraId="4E9A10E8"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Chair/ Moderator: Prof. Bipin Jojo</w:t>
            </w:r>
          </w:p>
        </w:tc>
      </w:tr>
      <w:tr w:rsidR="003934E1" w14:paraId="20F713D5" w14:textId="77777777">
        <w:tc>
          <w:tcPr>
            <w:tcW w:w="4785" w:type="dxa"/>
          </w:tcPr>
          <w:p w14:paraId="73029CA3"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Prof. Joseph Bara, SRA, University of Sussex</w:t>
            </w:r>
          </w:p>
        </w:tc>
        <w:tc>
          <w:tcPr>
            <w:tcW w:w="5055" w:type="dxa"/>
            <w:shd w:val="clear" w:color="auto" w:fill="FFFF00"/>
          </w:tcPr>
          <w:p w14:paraId="46400470"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Venue: Seminar Hall Third Floor</w:t>
            </w:r>
          </w:p>
        </w:tc>
      </w:tr>
      <w:tr w:rsidR="003934E1" w14:paraId="7323DCEF" w14:textId="77777777">
        <w:tc>
          <w:tcPr>
            <w:tcW w:w="4785" w:type="dxa"/>
          </w:tcPr>
          <w:p w14:paraId="41C08F5F"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Dr. Rahul Ranjan, University of Edinburgh</w:t>
            </w:r>
          </w:p>
        </w:tc>
        <w:tc>
          <w:tcPr>
            <w:tcW w:w="5055" w:type="dxa"/>
          </w:tcPr>
          <w:p w14:paraId="134903CF" w14:textId="77777777" w:rsidR="003934E1" w:rsidRDefault="003934E1">
            <w:pPr>
              <w:jc w:val="center"/>
              <w:rPr>
                <w:rFonts w:ascii="Times New Roman" w:eastAsia="Times New Roman" w:hAnsi="Times New Roman" w:cs="Times New Roman"/>
              </w:rPr>
            </w:pPr>
          </w:p>
        </w:tc>
      </w:tr>
      <w:tr w:rsidR="003934E1" w14:paraId="1F7CC5BE" w14:textId="77777777">
        <w:tc>
          <w:tcPr>
            <w:tcW w:w="4785" w:type="dxa"/>
          </w:tcPr>
          <w:p w14:paraId="41DFBAA1" w14:textId="77777777" w:rsidR="003934E1" w:rsidRDefault="003934E1">
            <w:pPr>
              <w:rPr>
                <w:rFonts w:ascii="Times New Roman" w:eastAsia="Times New Roman" w:hAnsi="Times New Roman" w:cs="Times New Roman"/>
              </w:rPr>
            </w:pPr>
          </w:p>
        </w:tc>
        <w:tc>
          <w:tcPr>
            <w:tcW w:w="5055" w:type="dxa"/>
          </w:tcPr>
          <w:p w14:paraId="3F078B6E" w14:textId="77777777" w:rsidR="003934E1" w:rsidRDefault="003934E1">
            <w:pPr>
              <w:jc w:val="center"/>
              <w:rPr>
                <w:rFonts w:ascii="Times New Roman" w:eastAsia="Times New Roman" w:hAnsi="Times New Roman" w:cs="Times New Roman"/>
              </w:rPr>
            </w:pPr>
          </w:p>
        </w:tc>
      </w:tr>
      <w:tr w:rsidR="003934E1" w14:paraId="63E992D9" w14:textId="77777777">
        <w:tc>
          <w:tcPr>
            <w:tcW w:w="4785" w:type="dxa"/>
            <w:shd w:val="clear" w:color="auto" w:fill="DD7E6B"/>
          </w:tcPr>
          <w:p w14:paraId="10BAC824"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LUNCH BREAK</w:t>
            </w:r>
          </w:p>
        </w:tc>
        <w:tc>
          <w:tcPr>
            <w:tcW w:w="5055" w:type="dxa"/>
            <w:shd w:val="clear" w:color="auto" w:fill="DD7E6B"/>
          </w:tcPr>
          <w:p w14:paraId="689CD6CE"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1 p.m.- 2 p.m. Common Room Ground Floor</w:t>
            </w:r>
          </w:p>
        </w:tc>
      </w:tr>
      <w:tr w:rsidR="003934E1" w14:paraId="73208137" w14:textId="77777777">
        <w:tc>
          <w:tcPr>
            <w:tcW w:w="4785" w:type="dxa"/>
          </w:tcPr>
          <w:p w14:paraId="12B36BE5" w14:textId="77777777" w:rsidR="003934E1" w:rsidRDefault="003934E1">
            <w:pPr>
              <w:rPr>
                <w:rFonts w:ascii="Times New Roman" w:eastAsia="Times New Roman" w:hAnsi="Times New Roman" w:cs="Times New Roman"/>
                <w:b/>
              </w:rPr>
            </w:pPr>
          </w:p>
        </w:tc>
        <w:tc>
          <w:tcPr>
            <w:tcW w:w="5055" w:type="dxa"/>
          </w:tcPr>
          <w:p w14:paraId="083EFA99" w14:textId="77777777" w:rsidR="003934E1" w:rsidRDefault="003934E1">
            <w:pPr>
              <w:jc w:val="center"/>
              <w:rPr>
                <w:rFonts w:ascii="Times New Roman" w:eastAsia="Times New Roman" w:hAnsi="Times New Roman" w:cs="Times New Roman"/>
              </w:rPr>
            </w:pPr>
          </w:p>
        </w:tc>
      </w:tr>
      <w:tr w:rsidR="003934E1" w14:paraId="5082B193" w14:textId="77777777">
        <w:tc>
          <w:tcPr>
            <w:tcW w:w="4785" w:type="dxa"/>
            <w:shd w:val="clear" w:color="auto" w:fill="D9EAD3"/>
          </w:tcPr>
          <w:p w14:paraId="410A1FAE"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 xml:space="preserve">Technical Session 1: </w:t>
            </w:r>
          </w:p>
        </w:tc>
        <w:tc>
          <w:tcPr>
            <w:tcW w:w="5055" w:type="dxa"/>
            <w:shd w:val="clear" w:color="auto" w:fill="D9EAD3"/>
          </w:tcPr>
          <w:p w14:paraId="3C6E2410"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Indigenous Cultural Pride and Practices </w:t>
            </w:r>
          </w:p>
          <w:p w14:paraId="686A4916"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2 p.m.-3 p.m. </w:t>
            </w:r>
          </w:p>
        </w:tc>
      </w:tr>
      <w:tr w:rsidR="003934E1" w14:paraId="70942C02" w14:textId="77777777">
        <w:tc>
          <w:tcPr>
            <w:tcW w:w="4785" w:type="dxa"/>
          </w:tcPr>
          <w:p w14:paraId="40E33369"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Anindita Saha</w:t>
            </w:r>
          </w:p>
        </w:tc>
        <w:tc>
          <w:tcPr>
            <w:tcW w:w="5055" w:type="dxa"/>
            <w:shd w:val="clear" w:color="auto" w:fill="D9D2E9"/>
          </w:tcPr>
          <w:p w14:paraId="67382945"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Chair/ Moderator: Dr. Dolly V. </w:t>
            </w:r>
            <w:proofErr w:type="spellStart"/>
            <w:r>
              <w:rPr>
                <w:rFonts w:ascii="Times New Roman" w:eastAsia="Times New Roman" w:hAnsi="Times New Roman" w:cs="Times New Roman"/>
              </w:rPr>
              <w:t>Muanching</w:t>
            </w:r>
            <w:proofErr w:type="spellEnd"/>
          </w:p>
        </w:tc>
      </w:tr>
      <w:tr w:rsidR="003934E1" w14:paraId="755A34E4" w14:textId="77777777">
        <w:tc>
          <w:tcPr>
            <w:tcW w:w="4785" w:type="dxa"/>
          </w:tcPr>
          <w:p w14:paraId="7F6930CC"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Harshvardhan Gautam</w:t>
            </w:r>
          </w:p>
        </w:tc>
        <w:tc>
          <w:tcPr>
            <w:tcW w:w="5055" w:type="dxa"/>
            <w:shd w:val="clear" w:color="auto" w:fill="CFE2F3"/>
          </w:tcPr>
          <w:p w14:paraId="01820DDB"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Judges: Dr. </w:t>
            </w:r>
            <w:proofErr w:type="spellStart"/>
            <w:r>
              <w:rPr>
                <w:rFonts w:ascii="Times New Roman" w:eastAsia="Times New Roman" w:hAnsi="Times New Roman" w:cs="Times New Roman"/>
              </w:rPr>
              <w:t>Roluahpuia</w:t>
            </w:r>
            <w:proofErr w:type="spellEnd"/>
            <w:r>
              <w:rPr>
                <w:rFonts w:ascii="Times New Roman" w:eastAsia="Times New Roman" w:hAnsi="Times New Roman" w:cs="Times New Roman"/>
              </w:rPr>
              <w:t xml:space="preserve"> &amp; Dr. Shantanu </w:t>
            </w:r>
            <w:proofErr w:type="spellStart"/>
            <w:r>
              <w:rPr>
                <w:rFonts w:ascii="Times New Roman" w:eastAsia="Times New Roman" w:hAnsi="Times New Roman" w:cs="Times New Roman"/>
              </w:rPr>
              <w:t>Majee</w:t>
            </w:r>
            <w:proofErr w:type="spellEnd"/>
          </w:p>
        </w:tc>
      </w:tr>
      <w:tr w:rsidR="003934E1" w14:paraId="1E2EED20" w14:textId="77777777">
        <w:tc>
          <w:tcPr>
            <w:tcW w:w="4785" w:type="dxa"/>
          </w:tcPr>
          <w:p w14:paraId="20AC00B9" w14:textId="77777777" w:rsidR="003934E1" w:rsidRDefault="003934E1">
            <w:pPr>
              <w:rPr>
                <w:rFonts w:ascii="Times New Roman" w:eastAsia="Times New Roman" w:hAnsi="Times New Roman" w:cs="Times New Roman"/>
              </w:rPr>
            </w:pPr>
          </w:p>
        </w:tc>
        <w:tc>
          <w:tcPr>
            <w:tcW w:w="5055" w:type="dxa"/>
            <w:shd w:val="clear" w:color="auto" w:fill="FFFF00"/>
          </w:tcPr>
          <w:p w14:paraId="01A47BD3"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Venue: Seminar Hall Third Floor</w:t>
            </w:r>
          </w:p>
        </w:tc>
      </w:tr>
      <w:tr w:rsidR="003934E1" w14:paraId="314E9F41" w14:textId="77777777">
        <w:tc>
          <w:tcPr>
            <w:tcW w:w="4785" w:type="dxa"/>
          </w:tcPr>
          <w:p w14:paraId="094BA332" w14:textId="77777777" w:rsidR="003934E1" w:rsidRDefault="003934E1">
            <w:pPr>
              <w:rPr>
                <w:rFonts w:ascii="Times New Roman" w:eastAsia="Times New Roman" w:hAnsi="Times New Roman" w:cs="Times New Roman"/>
              </w:rPr>
            </w:pPr>
          </w:p>
        </w:tc>
        <w:tc>
          <w:tcPr>
            <w:tcW w:w="5055" w:type="dxa"/>
          </w:tcPr>
          <w:p w14:paraId="35C0677B" w14:textId="77777777" w:rsidR="003934E1" w:rsidRDefault="003934E1">
            <w:pPr>
              <w:jc w:val="center"/>
              <w:rPr>
                <w:rFonts w:ascii="Times New Roman" w:eastAsia="Times New Roman" w:hAnsi="Times New Roman" w:cs="Times New Roman"/>
              </w:rPr>
            </w:pPr>
          </w:p>
        </w:tc>
      </w:tr>
      <w:tr w:rsidR="003934E1" w14:paraId="0369E352" w14:textId="77777777">
        <w:tc>
          <w:tcPr>
            <w:tcW w:w="4785" w:type="dxa"/>
            <w:shd w:val="clear" w:color="auto" w:fill="D9EAD3"/>
          </w:tcPr>
          <w:p w14:paraId="3040605F"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Technical Session 2:</w:t>
            </w:r>
          </w:p>
        </w:tc>
        <w:tc>
          <w:tcPr>
            <w:tcW w:w="5055" w:type="dxa"/>
            <w:shd w:val="clear" w:color="auto" w:fill="D9EAD3"/>
          </w:tcPr>
          <w:p w14:paraId="30BDFB99"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b/>
              </w:rPr>
              <w:t>Decolonizing Tribal Studies: 2 p.m.-3 p.m.</w:t>
            </w:r>
          </w:p>
        </w:tc>
      </w:tr>
      <w:tr w:rsidR="003934E1" w14:paraId="11C38802" w14:textId="77777777">
        <w:tc>
          <w:tcPr>
            <w:tcW w:w="4785" w:type="dxa"/>
          </w:tcPr>
          <w:p w14:paraId="10425FE3"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Jishnu Suresh</w:t>
            </w:r>
          </w:p>
        </w:tc>
        <w:tc>
          <w:tcPr>
            <w:tcW w:w="5055" w:type="dxa"/>
            <w:shd w:val="clear" w:color="auto" w:fill="D9D2E9"/>
          </w:tcPr>
          <w:p w14:paraId="5D65498D"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Chair/ Moderator: Dr. Bipasha Rosy Lakra</w:t>
            </w:r>
          </w:p>
        </w:tc>
      </w:tr>
      <w:tr w:rsidR="003934E1" w14:paraId="15D47169" w14:textId="77777777">
        <w:tc>
          <w:tcPr>
            <w:tcW w:w="4785" w:type="dxa"/>
          </w:tcPr>
          <w:p w14:paraId="154569C7"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Roshan </w:t>
            </w:r>
            <w:proofErr w:type="spellStart"/>
            <w:r>
              <w:rPr>
                <w:rFonts w:ascii="Times New Roman" w:eastAsia="Times New Roman" w:hAnsi="Times New Roman" w:cs="Times New Roman"/>
              </w:rPr>
              <w:t>Xalxo</w:t>
            </w:r>
            <w:proofErr w:type="spellEnd"/>
          </w:p>
        </w:tc>
        <w:tc>
          <w:tcPr>
            <w:tcW w:w="5055" w:type="dxa"/>
            <w:shd w:val="clear" w:color="auto" w:fill="CFE2F3"/>
          </w:tcPr>
          <w:p w14:paraId="22F7C1D9"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Judges: Dr. Deepali </w:t>
            </w:r>
            <w:proofErr w:type="spellStart"/>
            <w:r>
              <w:rPr>
                <w:rFonts w:ascii="Times New Roman" w:eastAsia="Times New Roman" w:hAnsi="Times New Roman" w:cs="Times New Roman"/>
              </w:rPr>
              <w:t>Dungdung</w:t>
            </w:r>
            <w:proofErr w:type="spellEnd"/>
            <w:r>
              <w:rPr>
                <w:rFonts w:ascii="Times New Roman" w:eastAsia="Times New Roman" w:hAnsi="Times New Roman" w:cs="Times New Roman"/>
              </w:rPr>
              <w:t xml:space="preserve"> &amp; Dr. Blessy Abraham</w:t>
            </w:r>
          </w:p>
        </w:tc>
      </w:tr>
      <w:tr w:rsidR="003934E1" w14:paraId="7EDF1A2D" w14:textId="77777777">
        <w:tc>
          <w:tcPr>
            <w:tcW w:w="4785" w:type="dxa"/>
          </w:tcPr>
          <w:p w14:paraId="120F78E1"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lastRenderedPageBreak/>
              <w:t>Manish Surin</w:t>
            </w:r>
          </w:p>
        </w:tc>
        <w:tc>
          <w:tcPr>
            <w:tcW w:w="5055" w:type="dxa"/>
            <w:shd w:val="clear" w:color="auto" w:fill="FFFF00"/>
          </w:tcPr>
          <w:p w14:paraId="769CF7E6"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Venue: AV Room Library Building</w:t>
            </w:r>
          </w:p>
        </w:tc>
      </w:tr>
      <w:tr w:rsidR="003934E1" w14:paraId="529950A4" w14:textId="77777777">
        <w:tc>
          <w:tcPr>
            <w:tcW w:w="4785" w:type="dxa"/>
          </w:tcPr>
          <w:p w14:paraId="4FFC38A4" w14:textId="77777777" w:rsidR="003934E1" w:rsidRDefault="003934E1">
            <w:pPr>
              <w:rPr>
                <w:rFonts w:ascii="Times New Roman" w:eastAsia="Times New Roman" w:hAnsi="Times New Roman" w:cs="Times New Roman"/>
              </w:rPr>
            </w:pPr>
          </w:p>
        </w:tc>
        <w:tc>
          <w:tcPr>
            <w:tcW w:w="5055" w:type="dxa"/>
          </w:tcPr>
          <w:p w14:paraId="1A15D501" w14:textId="77777777" w:rsidR="003934E1" w:rsidRDefault="003934E1">
            <w:pPr>
              <w:jc w:val="center"/>
              <w:rPr>
                <w:rFonts w:ascii="Times New Roman" w:eastAsia="Times New Roman" w:hAnsi="Times New Roman" w:cs="Times New Roman"/>
              </w:rPr>
            </w:pPr>
          </w:p>
        </w:tc>
      </w:tr>
      <w:tr w:rsidR="003934E1" w14:paraId="2D4EA99B" w14:textId="77777777">
        <w:tc>
          <w:tcPr>
            <w:tcW w:w="4785" w:type="dxa"/>
            <w:shd w:val="clear" w:color="auto" w:fill="D9EAD3"/>
          </w:tcPr>
          <w:p w14:paraId="5EB79624"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Technical Session 3</w:t>
            </w:r>
          </w:p>
        </w:tc>
        <w:tc>
          <w:tcPr>
            <w:tcW w:w="5055" w:type="dxa"/>
            <w:shd w:val="clear" w:color="auto" w:fill="D9EAD3"/>
          </w:tcPr>
          <w:p w14:paraId="4407D8DE"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Tribal Consciousness in Literary Expression: </w:t>
            </w:r>
          </w:p>
          <w:p w14:paraId="7C1784CD"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b/>
              </w:rPr>
              <w:t>2 p.m.-3 p.m.</w:t>
            </w:r>
          </w:p>
        </w:tc>
      </w:tr>
      <w:tr w:rsidR="003934E1" w14:paraId="16FBEAAB" w14:textId="77777777">
        <w:tc>
          <w:tcPr>
            <w:tcW w:w="4785" w:type="dxa"/>
          </w:tcPr>
          <w:p w14:paraId="3DCD5FD3"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Samarth Singhal</w:t>
            </w:r>
          </w:p>
        </w:tc>
        <w:tc>
          <w:tcPr>
            <w:tcW w:w="5055" w:type="dxa"/>
            <w:shd w:val="clear" w:color="auto" w:fill="D9D2E9"/>
          </w:tcPr>
          <w:p w14:paraId="0AE1E431"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Chair/ Moderator: Dr. Juhi Rose Vandana Minz</w:t>
            </w:r>
          </w:p>
        </w:tc>
      </w:tr>
      <w:tr w:rsidR="003934E1" w14:paraId="605CAECE" w14:textId="77777777">
        <w:tc>
          <w:tcPr>
            <w:tcW w:w="4785" w:type="dxa"/>
          </w:tcPr>
          <w:p w14:paraId="596664CE"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Aishwarya Bhattacharyya</w:t>
            </w:r>
          </w:p>
        </w:tc>
        <w:tc>
          <w:tcPr>
            <w:tcW w:w="5055" w:type="dxa"/>
            <w:shd w:val="clear" w:color="auto" w:fill="CFE2F3"/>
          </w:tcPr>
          <w:p w14:paraId="48362600"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Judges: Dr. Rahi Soren &amp; Dr. Payal Anil Padmanabhan</w:t>
            </w:r>
          </w:p>
        </w:tc>
      </w:tr>
      <w:tr w:rsidR="003934E1" w14:paraId="380A9DA8" w14:textId="77777777">
        <w:tc>
          <w:tcPr>
            <w:tcW w:w="4785" w:type="dxa"/>
          </w:tcPr>
          <w:p w14:paraId="5EAB08C0"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Muhammad Sinan &amp; </w:t>
            </w:r>
            <w:proofErr w:type="spellStart"/>
            <w:r>
              <w:rPr>
                <w:rFonts w:ascii="Times New Roman" w:eastAsia="Times New Roman" w:hAnsi="Times New Roman" w:cs="Times New Roman"/>
              </w:rPr>
              <w:t>Abusalman</w:t>
            </w:r>
            <w:proofErr w:type="spellEnd"/>
            <w:r>
              <w:rPr>
                <w:rFonts w:ascii="Times New Roman" w:eastAsia="Times New Roman" w:hAnsi="Times New Roman" w:cs="Times New Roman"/>
              </w:rPr>
              <w:t xml:space="preserve"> T S</w:t>
            </w:r>
          </w:p>
        </w:tc>
        <w:tc>
          <w:tcPr>
            <w:tcW w:w="5055" w:type="dxa"/>
            <w:shd w:val="clear" w:color="auto" w:fill="FFFF00"/>
          </w:tcPr>
          <w:p w14:paraId="627B8783"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Venue: Seminar Room Library Building</w:t>
            </w:r>
          </w:p>
        </w:tc>
      </w:tr>
      <w:tr w:rsidR="003934E1" w14:paraId="1A7AEA9C" w14:textId="77777777">
        <w:tc>
          <w:tcPr>
            <w:tcW w:w="4785" w:type="dxa"/>
          </w:tcPr>
          <w:p w14:paraId="0A4F138C" w14:textId="77777777" w:rsidR="003934E1" w:rsidRDefault="003934E1">
            <w:pPr>
              <w:rPr>
                <w:rFonts w:ascii="Times New Roman" w:eastAsia="Times New Roman" w:hAnsi="Times New Roman" w:cs="Times New Roman"/>
              </w:rPr>
            </w:pPr>
          </w:p>
        </w:tc>
        <w:tc>
          <w:tcPr>
            <w:tcW w:w="5055" w:type="dxa"/>
            <w:shd w:val="clear" w:color="auto" w:fill="FFFFFF"/>
          </w:tcPr>
          <w:p w14:paraId="16AD8959" w14:textId="77777777" w:rsidR="003934E1" w:rsidRDefault="003934E1">
            <w:pPr>
              <w:jc w:val="center"/>
              <w:rPr>
                <w:rFonts w:ascii="Times New Roman" w:eastAsia="Times New Roman" w:hAnsi="Times New Roman" w:cs="Times New Roman"/>
              </w:rPr>
            </w:pPr>
          </w:p>
        </w:tc>
      </w:tr>
      <w:tr w:rsidR="003934E1" w14:paraId="3C5A38DF" w14:textId="77777777">
        <w:tc>
          <w:tcPr>
            <w:tcW w:w="4785" w:type="dxa"/>
            <w:shd w:val="clear" w:color="auto" w:fill="6AA84F"/>
          </w:tcPr>
          <w:p w14:paraId="78871CE3"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Film Screening by Mr. Biju Toppo</w:t>
            </w:r>
          </w:p>
        </w:tc>
        <w:tc>
          <w:tcPr>
            <w:tcW w:w="5055" w:type="dxa"/>
            <w:shd w:val="clear" w:color="auto" w:fill="6AA84F"/>
          </w:tcPr>
          <w:p w14:paraId="726C35D6"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b/>
              </w:rPr>
              <w:t>3 p.m-4 p.m</w:t>
            </w:r>
            <w:r>
              <w:rPr>
                <w:rFonts w:ascii="Times New Roman" w:eastAsia="Times New Roman" w:hAnsi="Times New Roman" w:cs="Times New Roman"/>
              </w:rPr>
              <w:t>.</w:t>
            </w:r>
          </w:p>
        </w:tc>
      </w:tr>
      <w:tr w:rsidR="003934E1" w14:paraId="3CBD4DA8" w14:textId="77777777">
        <w:tc>
          <w:tcPr>
            <w:tcW w:w="4785" w:type="dxa"/>
          </w:tcPr>
          <w:p w14:paraId="6C448CAA"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Moderator: Dr. Gomti Bodra</w:t>
            </w:r>
          </w:p>
        </w:tc>
        <w:tc>
          <w:tcPr>
            <w:tcW w:w="5055" w:type="dxa"/>
            <w:shd w:val="clear" w:color="auto" w:fill="FFFF00"/>
          </w:tcPr>
          <w:p w14:paraId="1CD544CE"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Venue: Seminar Hall Third Floor</w:t>
            </w:r>
          </w:p>
        </w:tc>
      </w:tr>
      <w:tr w:rsidR="003934E1" w14:paraId="5BF4CF08" w14:textId="77777777">
        <w:tc>
          <w:tcPr>
            <w:tcW w:w="4785" w:type="dxa"/>
          </w:tcPr>
          <w:p w14:paraId="4558F00F" w14:textId="77777777" w:rsidR="003934E1" w:rsidRDefault="003934E1">
            <w:pPr>
              <w:rPr>
                <w:rFonts w:ascii="Times New Roman" w:eastAsia="Times New Roman" w:hAnsi="Times New Roman" w:cs="Times New Roman"/>
              </w:rPr>
            </w:pPr>
          </w:p>
        </w:tc>
        <w:tc>
          <w:tcPr>
            <w:tcW w:w="5055" w:type="dxa"/>
            <w:shd w:val="clear" w:color="auto" w:fill="FFFFFF"/>
          </w:tcPr>
          <w:p w14:paraId="7FFE5AF8" w14:textId="77777777" w:rsidR="003934E1" w:rsidRDefault="003934E1">
            <w:pPr>
              <w:jc w:val="center"/>
              <w:rPr>
                <w:rFonts w:ascii="Times New Roman" w:eastAsia="Times New Roman" w:hAnsi="Times New Roman" w:cs="Times New Roman"/>
              </w:rPr>
            </w:pPr>
          </w:p>
        </w:tc>
      </w:tr>
      <w:tr w:rsidR="003934E1" w14:paraId="48F17532" w14:textId="77777777">
        <w:tc>
          <w:tcPr>
            <w:tcW w:w="4785" w:type="dxa"/>
            <w:shd w:val="clear" w:color="auto" w:fill="DD7E6B"/>
          </w:tcPr>
          <w:p w14:paraId="59B7582C"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High Tea</w:t>
            </w:r>
          </w:p>
        </w:tc>
        <w:tc>
          <w:tcPr>
            <w:tcW w:w="5055" w:type="dxa"/>
            <w:shd w:val="clear" w:color="auto" w:fill="DD7E6B"/>
          </w:tcPr>
          <w:p w14:paraId="69BE69E5"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4 p.m-4.15 </w:t>
            </w:r>
            <w:proofErr w:type="spellStart"/>
            <w:r>
              <w:rPr>
                <w:rFonts w:ascii="Times New Roman" w:eastAsia="Times New Roman" w:hAnsi="Times New Roman" w:cs="Times New Roman"/>
                <w:b/>
              </w:rPr>
              <w:t>p.m</w:t>
            </w:r>
            <w:proofErr w:type="spellEnd"/>
            <w:r>
              <w:rPr>
                <w:rFonts w:ascii="Times New Roman" w:eastAsia="Times New Roman" w:hAnsi="Times New Roman" w:cs="Times New Roman"/>
                <w:b/>
              </w:rPr>
              <w:t xml:space="preserve"> Common Room Ground Floor</w:t>
            </w:r>
          </w:p>
        </w:tc>
      </w:tr>
    </w:tbl>
    <w:p w14:paraId="7229D46E" w14:textId="77777777" w:rsidR="003934E1" w:rsidRDefault="003934E1">
      <w:pPr>
        <w:rPr>
          <w:rFonts w:ascii="Times New Roman" w:eastAsia="Times New Roman" w:hAnsi="Times New Roman" w:cs="Times New Roman"/>
          <w:b/>
        </w:rPr>
      </w:pPr>
    </w:p>
    <w:p w14:paraId="49C774EC" w14:textId="77777777" w:rsidR="003934E1" w:rsidRDefault="003934E1">
      <w:pPr>
        <w:jc w:val="center"/>
        <w:rPr>
          <w:rFonts w:ascii="Times New Roman" w:eastAsia="Times New Roman" w:hAnsi="Times New Roman" w:cs="Times New Roman"/>
          <w:b/>
        </w:rPr>
      </w:pPr>
    </w:p>
    <w:p w14:paraId="03DD7068" w14:textId="77777777" w:rsidR="003934E1" w:rsidRDefault="003934E1">
      <w:pPr>
        <w:jc w:val="center"/>
        <w:rPr>
          <w:rFonts w:ascii="Times New Roman" w:eastAsia="Times New Roman" w:hAnsi="Times New Roman" w:cs="Times New Roman"/>
          <w:b/>
        </w:rPr>
      </w:pPr>
    </w:p>
    <w:p w14:paraId="612E041F" w14:textId="77777777" w:rsidR="003934E1" w:rsidRDefault="003934E1">
      <w:pPr>
        <w:jc w:val="center"/>
        <w:rPr>
          <w:rFonts w:ascii="Times New Roman" w:eastAsia="Times New Roman" w:hAnsi="Times New Roman" w:cs="Times New Roman"/>
          <w:b/>
        </w:rPr>
      </w:pPr>
    </w:p>
    <w:p w14:paraId="3D60F7E6"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Day 2</w:t>
      </w:r>
    </w:p>
    <w:p w14:paraId="4C12F5D7" w14:textId="77777777" w:rsidR="003934E1" w:rsidRDefault="003934E1">
      <w:pPr>
        <w:jc w:val="center"/>
        <w:rPr>
          <w:rFonts w:ascii="Times New Roman" w:eastAsia="Times New Roman" w:hAnsi="Times New Roman" w:cs="Times New Roman"/>
          <w:b/>
        </w:rPr>
      </w:pPr>
    </w:p>
    <w:tbl>
      <w:tblPr>
        <w:tblStyle w:val="a0"/>
        <w:tblW w:w="9690"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50"/>
        <w:gridCol w:w="5040"/>
      </w:tblGrid>
      <w:tr w:rsidR="003934E1" w14:paraId="46C0148A" w14:textId="77777777">
        <w:trPr>
          <w:tblHeader/>
        </w:trPr>
        <w:tc>
          <w:tcPr>
            <w:tcW w:w="4650" w:type="dxa"/>
            <w:shd w:val="clear" w:color="auto" w:fill="FFF2CC"/>
          </w:tcPr>
          <w:p w14:paraId="0E6E174B"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Expert Panel 2</w:t>
            </w:r>
          </w:p>
        </w:tc>
        <w:tc>
          <w:tcPr>
            <w:tcW w:w="5040" w:type="dxa"/>
            <w:shd w:val="clear" w:color="auto" w:fill="FFF2CC"/>
          </w:tcPr>
          <w:p w14:paraId="30805816"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9.30 a.m-11 a.m.</w:t>
            </w:r>
          </w:p>
        </w:tc>
      </w:tr>
      <w:tr w:rsidR="003934E1" w14:paraId="48D45F9E" w14:textId="77777777">
        <w:tc>
          <w:tcPr>
            <w:tcW w:w="4650" w:type="dxa"/>
          </w:tcPr>
          <w:p w14:paraId="51E0D616"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Prof. Bipin Jojo, TISS, Mumbai</w:t>
            </w:r>
          </w:p>
        </w:tc>
        <w:tc>
          <w:tcPr>
            <w:tcW w:w="5040" w:type="dxa"/>
            <w:shd w:val="clear" w:color="auto" w:fill="F4CCCC"/>
          </w:tcPr>
          <w:p w14:paraId="3981EFAC" w14:textId="77777777" w:rsidR="003934E1" w:rsidRDefault="00000000">
            <w:pPr>
              <w:jc w:val="center"/>
            </w:pPr>
            <w:r>
              <w:rPr>
                <w:rFonts w:ascii="Times New Roman" w:eastAsia="Times New Roman" w:hAnsi="Times New Roman" w:cs="Times New Roman"/>
              </w:rPr>
              <w:t>Chair/ Moderator: Dr. Rahi Soren</w:t>
            </w:r>
          </w:p>
        </w:tc>
      </w:tr>
      <w:tr w:rsidR="003934E1" w14:paraId="4A6EEEE5" w14:textId="77777777">
        <w:tc>
          <w:tcPr>
            <w:tcW w:w="4650" w:type="dxa"/>
          </w:tcPr>
          <w:p w14:paraId="16650AD7"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Dr. Gomati Bodra, Jamia Millia Islamia</w:t>
            </w:r>
          </w:p>
        </w:tc>
        <w:tc>
          <w:tcPr>
            <w:tcW w:w="5040" w:type="dxa"/>
            <w:shd w:val="clear" w:color="auto" w:fill="FFFF00"/>
          </w:tcPr>
          <w:p w14:paraId="3D5D96CC"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Venue: Seminar Hall Third Floor</w:t>
            </w:r>
          </w:p>
        </w:tc>
      </w:tr>
      <w:tr w:rsidR="003934E1" w14:paraId="021352BC" w14:textId="77777777">
        <w:tc>
          <w:tcPr>
            <w:tcW w:w="4650" w:type="dxa"/>
          </w:tcPr>
          <w:p w14:paraId="1CCF986B"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Dr. Ayesha Gautam, Delhi University</w:t>
            </w:r>
          </w:p>
        </w:tc>
        <w:tc>
          <w:tcPr>
            <w:tcW w:w="5040" w:type="dxa"/>
          </w:tcPr>
          <w:p w14:paraId="6316F073" w14:textId="77777777" w:rsidR="003934E1" w:rsidRDefault="003934E1"/>
        </w:tc>
      </w:tr>
      <w:tr w:rsidR="003934E1" w14:paraId="7955F22C" w14:textId="77777777">
        <w:tc>
          <w:tcPr>
            <w:tcW w:w="4650" w:type="dxa"/>
            <w:shd w:val="clear" w:color="auto" w:fill="DD7E6B"/>
          </w:tcPr>
          <w:p w14:paraId="3A599970"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High Tea</w:t>
            </w:r>
          </w:p>
        </w:tc>
        <w:tc>
          <w:tcPr>
            <w:tcW w:w="5040" w:type="dxa"/>
            <w:shd w:val="clear" w:color="auto" w:fill="DD7E6B"/>
          </w:tcPr>
          <w:p w14:paraId="1A603ECD"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11 a.m-11.15 a.m. Common Room Gr. Floor</w:t>
            </w:r>
          </w:p>
        </w:tc>
      </w:tr>
      <w:tr w:rsidR="003934E1" w14:paraId="33119DE7" w14:textId="77777777">
        <w:tc>
          <w:tcPr>
            <w:tcW w:w="4650" w:type="dxa"/>
          </w:tcPr>
          <w:p w14:paraId="7138688F" w14:textId="77777777" w:rsidR="003934E1" w:rsidRDefault="003934E1">
            <w:pPr>
              <w:rPr>
                <w:rFonts w:ascii="Times New Roman" w:eastAsia="Times New Roman" w:hAnsi="Times New Roman" w:cs="Times New Roman"/>
                <w:b/>
              </w:rPr>
            </w:pPr>
          </w:p>
        </w:tc>
        <w:tc>
          <w:tcPr>
            <w:tcW w:w="5040" w:type="dxa"/>
          </w:tcPr>
          <w:p w14:paraId="1C10296B" w14:textId="77777777" w:rsidR="003934E1" w:rsidRDefault="003934E1"/>
        </w:tc>
      </w:tr>
      <w:tr w:rsidR="003934E1" w14:paraId="2C378103" w14:textId="77777777">
        <w:tc>
          <w:tcPr>
            <w:tcW w:w="4650" w:type="dxa"/>
            <w:shd w:val="clear" w:color="auto" w:fill="FFF2CC"/>
          </w:tcPr>
          <w:p w14:paraId="45E36AF4"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Expert Panel 3</w:t>
            </w:r>
          </w:p>
        </w:tc>
        <w:tc>
          <w:tcPr>
            <w:tcW w:w="5040" w:type="dxa"/>
            <w:shd w:val="clear" w:color="auto" w:fill="FFF2CC"/>
          </w:tcPr>
          <w:p w14:paraId="408AE9C8"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11.15 a.m. 12.45 p.m.</w:t>
            </w:r>
          </w:p>
        </w:tc>
      </w:tr>
      <w:tr w:rsidR="003934E1" w14:paraId="1D2692D6" w14:textId="77777777">
        <w:tc>
          <w:tcPr>
            <w:tcW w:w="4650" w:type="dxa"/>
          </w:tcPr>
          <w:p w14:paraId="685D2462"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Dr. Rahi Soren, Jadavpur University</w:t>
            </w:r>
          </w:p>
        </w:tc>
        <w:tc>
          <w:tcPr>
            <w:tcW w:w="5040" w:type="dxa"/>
            <w:shd w:val="clear" w:color="auto" w:fill="F4CCCC"/>
          </w:tcPr>
          <w:p w14:paraId="5849AAB4" w14:textId="77777777" w:rsidR="003934E1" w:rsidRDefault="00000000">
            <w:pPr>
              <w:jc w:val="center"/>
            </w:pPr>
            <w:r>
              <w:rPr>
                <w:rFonts w:ascii="Times New Roman" w:eastAsia="Times New Roman" w:hAnsi="Times New Roman" w:cs="Times New Roman"/>
              </w:rPr>
              <w:t>Chair/ Moderator: Dr. Ayesha Gautam</w:t>
            </w:r>
          </w:p>
        </w:tc>
      </w:tr>
      <w:tr w:rsidR="003934E1" w14:paraId="669B3756" w14:textId="77777777">
        <w:tc>
          <w:tcPr>
            <w:tcW w:w="4650" w:type="dxa"/>
          </w:tcPr>
          <w:p w14:paraId="6BDBCE3E"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Dr. </w:t>
            </w:r>
            <w:proofErr w:type="spellStart"/>
            <w:r>
              <w:rPr>
                <w:rFonts w:ascii="Times New Roman" w:eastAsia="Times New Roman" w:hAnsi="Times New Roman" w:cs="Times New Roman"/>
              </w:rPr>
              <w:t>Roluahpuia</w:t>
            </w:r>
            <w:proofErr w:type="spellEnd"/>
            <w:r>
              <w:rPr>
                <w:rFonts w:ascii="Times New Roman" w:eastAsia="Times New Roman" w:hAnsi="Times New Roman" w:cs="Times New Roman"/>
              </w:rPr>
              <w:t>, IIT Roorkee</w:t>
            </w:r>
          </w:p>
        </w:tc>
        <w:tc>
          <w:tcPr>
            <w:tcW w:w="5040" w:type="dxa"/>
            <w:shd w:val="clear" w:color="auto" w:fill="FFFF00"/>
          </w:tcPr>
          <w:p w14:paraId="6A840AB2"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Venue: Seminar Hall Third Floor</w:t>
            </w:r>
          </w:p>
        </w:tc>
      </w:tr>
      <w:tr w:rsidR="003934E1" w14:paraId="0A32D659" w14:textId="77777777">
        <w:tc>
          <w:tcPr>
            <w:tcW w:w="4650" w:type="dxa"/>
          </w:tcPr>
          <w:p w14:paraId="6BA6D4ED"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Dr. Deepali </w:t>
            </w:r>
            <w:proofErr w:type="spellStart"/>
            <w:r>
              <w:rPr>
                <w:rFonts w:ascii="Times New Roman" w:eastAsia="Times New Roman" w:hAnsi="Times New Roman" w:cs="Times New Roman"/>
              </w:rPr>
              <w:t>Dungdung</w:t>
            </w:r>
            <w:proofErr w:type="spellEnd"/>
            <w:r>
              <w:rPr>
                <w:rFonts w:ascii="Times New Roman" w:eastAsia="Times New Roman" w:hAnsi="Times New Roman" w:cs="Times New Roman"/>
              </w:rPr>
              <w:t>, Ranchi University</w:t>
            </w:r>
          </w:p>
        </w:tc>
        <w:tc>
          <w:tcPr>
            <w:tcW w:w="5040" w:type="dxa"/>
          </w:tcPr>
          <w:p w14:paraId="7A437D82" w14:textId="77777777" w:rsidR="003934E1" w:rsidRDefault="003934E1"/>
        </w:tc>
      </w:tr>
      <w:tr w:rsidR="003934E1" w14:paraId="3C872585" w14:textId="77777777">
        <w:tc>
          <w:tcPr>
            <w:tcW w:w="4650" w:type="dxa"/>
          </w:tcPr>
          <w:p w14:paraId="5B55BA05" w14:textId="77777777" w:rsidR="003934E1" w:rsidRDefault="003934E1">
            <w:pPr>
              <w:rPr>
                <w:rFonts w:ascii="Times New Roman" w:eastAsia="Times New Roman" w:hAnsi="Times New Roman" w:cs="Times New Roman"/>
              </w:rPr>
            </w:pPr>
          </w:p>
        </w:tc>
        <w:tc>
          <w:tcPr>
            <w:tcW w:w="5040" w:type="dxa"/>
          </w:tcPr>
          <w:p w14:paraId="02CE39AC" w14:textId="77777777" w:rsidR="003934E1" w:rsidRDefault="003934E1"/>
        </w:tc>
      </w:tr>
      <w:tr w:rsidR="003934E1" w14:paraId="42265527" w14:textId="77777777">
        <w:tc>
          <w:tcPr>
            <w:tcW w:w="4650" w:type="dxa"/>
            <w:shd w:val="clear" w:color="auto" w:fill="DD7E6B"/>
          </w:tcPr>
          <w:p w14:paraId="27B73557"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LUNCH BREAK</w:t>
            </w:r>
          </w:p>
        </w:tc>
        <w:tc>
          <w:tcPr>
            <w:tcW w:w="5040" w:type="dxa"/>
            <w:shd w:val="clear" w:color="auto" w:fill="DD7E6B"/>
          </w:tcPr>
          <w:p w14:paraId="3A8602CD"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1 p.m-2 p.m. Common Room Ground Floor</w:t>
            </w:r>
          </w:p>
        </w:tc>
      </w:tr>
      <w:tr w:rsidR="003934E1" w14:paraId="37A83117" w14:textId="77777777">
        <w:tc>
          <w:tcPr>
            <w:tcW w:w="4650" w:type="dxa"/>
          </w:tcPr>
          <w:p w14:paraId="539D9B79" w14:textId="77777777" w:rsidR="003934E1" w:rsidRDefault="003934E1">
            <w:pPr>
              <w:rPr>
                <w:rFonts w:ascii="Times New Roman" w:eastAsia="Times New Roman" w:hAnsi="Times New Roman" w:cs="Times New Roman"/>
              </w:rPr>
            </w:pPr>
          </w:p>
        </w:tc>
        <w:tc>
          <w:tcPr>
            <w:tcW w:w="5040" w:type="dxa"/>
          </w:tcPr>
          <w:p w14:paraId="606256C8" w14:textId="77777777" w:rsidR="003934E1" w:rsidRDefault="003934E1"/>
        </w:tc>
      </w:tr>
      <w:tr w:rsidR="003934E1" w14:paraId="29DAD4E5" w14:textId="77777777">
        <w:tc>
          <w:tcPr>
            <w:tcW w:w="4650" w:type="dxa"/>
            <w:shd w:val="clear" w:color="auto" w:fill="D9EAD3"/>
          </w:tcPr>
          <w:p w14:paraId="4A70118D" w14:textId="77777777" w:rsidR="003934E1" w:rsidRDefault="00000000">
            <w:pPr>
              <w:rPr>
                <w:rFonts w:ascii="Times New Roman" w:eastAsia="Times New Roman" w:hAnsi="Times New Roman" w:cs="Times New Roman"/>
              </w:rPr>
            </w:pPr>
            <w:r>
              <w:rPr>
                <w:rFonts w:ascii="Times New Roman" w:eastAsia="Times New Roman" w:hAnsi="Times New Roman" w:cs="Times New Roman"/>
                <w:b/>
              </w:rPr>
              <w:t>Technical Session 4</w:t>
            </w:r>
          </w:p>
        </w:tc>
        <w:tc>
          <w:tcPr>
            <w:tcW w:w="5040" w:type="dxa"/>
            <w:shd w:val="clear" w:color="auto" w:fill="D9EAD3"/>
          </w:tcPr>
          <w:p w14:paraId="485E3207"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Life, Legacy and Heritage of Birsa Munda: </w:t>
            </w:r>
          </w:p>
          <w:p w14:paraId="60B20E48"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b/>
              </w:rPr>
              <w:t>2 p.m.- 3 p.m.</w:t>
            </w:r>
          </w:p>
        </w:tc>
      </w:tr>
      <w:tr w:rsidR="003934E1" w14:paraId="69F38E5F" w14:textId="77777777">
        <w:tc>
          <w:tcPr>
            <w:tcW w:w="4650" w:type="dxa"/>
          </w:tcPr>
          <w:p w14:paraId="4B262EE1"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rPr>
              <w:t>Aditi Tirkey</w:t>
            </w:r>
          </w:p>
        </w:tc>
        <w:tc>
          <w:tcPr>
            <w:tcW w:w="5040" w:type="dxa"/>
            <w:shd w:val="clear" w:color="auto" w:fill="D9D2E9"/>
          </w:tcPr>
          <w:p w14:paraId="12E157D7"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rPr>
              <w:t>Chair/ Moderator: Dr. Maya John</w:t>
            </w:r>
          </w:p>
        </w:tc>
      </w:tr>
      <w:tr w:rsidR="003934E1" w14:paraId="68E2D999" w14:textId="77777777">
        <w:tc>
          <w:tcPr>
            <w:tcW w:w="4650" w:type="dxa"/>
          </w:tcPr>
          <w:p w14:paraId="3FA9C65A"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Valentine </w:t>
            </w:r>
            <w:proofErr w:type="spellStart"/>
            <w:r>
              <w:rPr>
                <w:rFonts w:ascii="Times New Roman" w:eastAsia="Times New Roman" w:hAnsi="Times New Roman" w:cs="Times New Roman"/>
              </w:rPr>
              <w:t>Sinduria</w:t>
            </w:r>
            <w:proofErr w:type="spellEnd"/>
          </w:p>
        </w:tc>
        <w:tc>
          <w:tcPr>
            <w:tcW w:w="5040" w:type="dxa"/>
            <w:shd w:val="clear" w:color="auto" w:fill="CFE2F3"/>
          </w:tcPr>
          <w:p w14:paraId="6F2B3D7D"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Judges: Prof. Joseph Bara &amp; Dr. Jessy K. Philip</w:t>
            </w:r>
          </w:p>
        </w:tc>
      </w:tr>
      <w:tr w:rsidR="003934E1" w14:paraId="09CB4CDD" w14:textId="77777777">
        <w:tc>
          <w:tcPr>
            <w:tcW w:w="4650" w:type="dxa"/>
          </w:tcPr>
          <w:p w14:paraId="61C29FB7"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Swati </w:t>
            </w:r>
            <w:proofErr w:type="spellStart"/>
            <w:r>
              <w:rPr>
                <w:rFonts w:ascii="Times New Roman" w:eastAsia="Times New Roman" w:hAnsi="Times New Roman" w:cs="Times New Roman"/>
              </w:rPr>
              <w:t>Bijawat</w:t>
            </w:r>
            <w:proofErr w:type="spellEnd"/>
            <w:r>
              <w:rPr>
                <w:rFonts w:ascii="Times New Roman" w:eastAsia="Times New Roman" w:hAnsi="Times New Roman" w:cs="Times New Roman"/>
              </w:rPr>
              <w:t xml:space="preserve"> &amp; Preeti </w:t>
            </w:r>
            <w:proofErr w:type="spellStart"/>
            <w:r>
              <w:rPr>
                <w:rFonts w:ascii="Times New Roman" w:eastAsia="Times New Roman" w:hAnsi="Times New Roman" w:cs="Times New Roman"/>
              </w:rPr>
              <w:t>Hariyani</w:t>
            </w:r>
            <w:proofErr w:type="spellEnd"/>
          </w:p>
        </w:tc>
        <w:tc>
          <w:tcPr>
            <w:tcW w:w="5040" w:type="dxa"/>
            <w:shd w:val="clear" w:color="auto" w:fill="FFFF00"/>
          </w:tcPr>
          <w:p w14:paraId="02762738"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Venue: Seminar Hall Third Floor</w:t>
            </w:r>
          </w:p>
        </w:tc>
      </w:tr>
      <w:tr w:rsidR="003934E1" w14:paraId="7BD3B127" w14:textId="77777777">
        <w:tc>
          <w:tcPr>
            <w:tcW w:w="4650" w:type="dxa"/>
            <w:shd w:val="clear" w:color="auto" w:fill="FFFFFF"/>
          </w:tcPr>
          <w:p w14:paraId="575072A2" w14:textId="77777777" w:rsidR="003934E1" w:rsidRDefault="003934E1">
            <w:pPr>
              <w:rPr>
                <w:rFonts w:ascii="Times New Roman" w:eastAsia="Times New Roman" w:hAnsi="Times New Roman" w:cs="Times New Roman"/>
                <w:b/>
              </w:rPr>
            </w:pPr>
          </w:p>
        </w:tc>
        <w:tc>
          <w:tcPr>
            <w:tcW w:w="5040" w:type="dxa"/>
            <w:shd w:val="clear" w:color="auto" w:fill="FFFFFF"/>
          </w:tcPr>
          <w:p w14:paraId="444A9219" w14:textId="77777777" w:rsidR="003934E1" w:rsidRDefault="003934E1">
            <w:pPr>
              <w:rPr>
                <w:rFonts w:ascii="Times New Roman" w:eastAsia="Times New Roman" w:hAnsi="Times New Roman" w:cs="Times New Roman"/>
                <w:b/>
              </w:rPr>
            </w:pPr>
          </w:p>
        </w:tc>
      </w:tr>
      <w:tr w:rsidR="003934E1" w14:paraId="3D89347B" w14:textId="77777777">
        <w:tc>
          <w:tcPr>
            <w:tcW w:w="4650" w:type="dxa"/>
            <w:shd w:val="clear" w:color="auto" w:fill="D9EAD3"/>
          </w:tcPr>
          <w:p w14:paraId="034030D7"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Technical Session 5</w:t>
            </w:r>
          </w:p>
        </w:tc>
        <w:tc>
          <w:tcPr>
            <w:tcW w:w="5040" w:type="dxa"/>
            <w:shd w:val="clear" w:color="auto" w:fill="D9EAD3"/>
          </w:tcPr>
          <w:p w14:paraId="509E4B65"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Contemporary Social Science Research: </w:t>
            </w:r>
          </w:p>
          <w:p w14:paraId="63BF50BC"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2 p.m.-3 p.m.</w:t>
            </w:r>
          </w:p>
        </w:tc>
      </w:tr>
      <w:tr w:rsidR="003934E1" w14:paraId="3DB9E468" w14:textId="77777777">
        <w:tc>
          <w:tcPr>
            <w:tcW w:w="4650" w:type="dxa"/>
          </w:tcPr>
          <w:p w14:paraId="53AF3A02"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Sahib Singh Tulsi</w:t>
            </w:r>
          </w:p>
        </w:tc>
        <w:tc>
          <w:tcPr>
            <w:tcW w:w="5040" w:type="dxa"/>
            <w:shd w:val="clear" w:color="auto" w:fill="D9D2E9"/>
          </w:tcPr>
          <w:p w14:paraId="04514B14"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Chair/ Moderator: Dr. Deepali </w:t>
            </w:r>
            <w:proofErr w:type="spellStart"/>
            <w:r>
              <w:rPr>
                <w:rFonts w:ascii="Times New Roman" w:eastAsia="Times New Roman" w:hAnsi="Times New Roman" w:cs="Times New Roman"/>
              </w:rPr>
              <w:t>Dungdung</w:t>
            </w:r>
            <w:proofErr w:type="spellEnd"/>
          </w:p>
        </w:tc>
      </w:tr>
      <w:tr w:rsidR="003934E1" w14:paraId="2C35A038" w14:textId="77777777">
        <w:tc>
          <w:tcPr>
            <w:tcW w:w="4650" w:type="dxa"/>
          </w:tcPr>
          <w:p w14:paraId="1F7C2EB8"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Himanshu Shukla</w:t>
            </w:r>
          </w:p>
        </w:tc>
        <w:tc>
          <w:tcPr>
            <w:tcW w:w="5040" w:type="dxa"/>
            <w:shd w:val="clear" w:color="auto" w:fill="CFE2F3"/>
          </w:tcPr>
          <w:p w14:paraId="7A190083"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Judges: Dr. Gomti Bodra &amp; Dr. Susan George</w:t>
            </w:r>
          </w:p>
        </w:tc>
      </w:tr>
      <w:tr w:rsidR="003934E1" w14:paraId="32AE684F" w14:textId="77777777">
        <w:tc>
          <w:tcPr>
            <w:tcW w:w="4650" w:type="dxa"/>
          </w:tcPr>
          <w:p w14:paraId="20505D23"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Hephzibah B. John</w:t>
            </w:r>
          </w:p>
        </w:tc>
        <w:tc>
          <w:tcPr>
            <w:tcW w:w="5040" w:type="dxa"/>
            <w:shd w:val="clear" w:color="auto" w:fill="FFFF00"/>
          </w:tcPr>
          <w:p w14:paraId="4611C48E"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Venue: Seminar Room Library Building</w:t>
            </w:r>
          </w:p>
        </w:tc>
      </w:tr>
      <w:tr w:rsidR="003934E1" w14:paraId="4A4801D3" w14:textId="77777777">
        <w:tc>
          <w:tcPr>
            <w:tcW w:w="4650" w:type="dxa"/>
          </w:tcPr>
          <w:p w14:paraId="67E467AD"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Sanghamitra R. Verman</w:t>
            </w:r>
          </w:p>
        </w:tc>
        <w:tc>
          <w:tcPr>
            <w:tcW w:w="5040" w:type="dxa"/>
          </w:tcPr>
          <w:p w14:paraId="406A54E7" w14:textId="77777777" w:rsidR="003934E1" w:rsidRDefault="003934E1">
            <w:pPr>
              <w:rPr>
                <w:rFonts w:ascii="Times New Roman" w:eastAsia="Times New Roman" w:hAnsi="Times New Roman" w:cs="Times New Roman"/>
              </w:rPr>
            </w:pPr>
          </w:p>
        </w:tc>
      </w:tr>
      <w:tr w:rsidR="003934E1" w14:paraId="2A5016D1" w14:textId="77777777">
        <w:tc>
          <w:tcPr>
            <w:tcW w:w="4650" w:type="dxa"/>
          </w:tcPr>
          <w:p w14:paraId="477AE8AC" w14:textId="77777777" w:rsidR="003934E1" w:rsidRDefault="003934E1">
            <w:pPr>
              <w:rPr>
                <w:rFonts w:ascii="Times New Roman" w:eastAsia="Times New Roman" w:hAnsi="Times New Roman" w:cs="Times New Roman"/>
                <w:b/>
              </w:rPr>
            </w:pPr>
          </w:p>
        </w:tc>
        <w:tc>
          <w:tcPr>
            <w:tcW w:w="5040" w:type="dxa"/>
          </w:tcPr>
          <w:p w14:paraId="513CF356" w14:textId="77777777" w:rsidR="003934E1" w:rsidRDefault="003934E1">
            <w:pPr>
              <w:rPr>
                <w:rFonts w:ascii="Times New Roman" w:eastAsia="Times New Roman" w:hAnsi="Times New Roman" w:cs="Times New Roman"/>
              </w:rPr>
            </w:pPr>
          </w:p>
        </w:tc>
      </w:tr>
      <w:tr w:rsidR="003934E1" w14:paraId="3EC30AB4" w14:textId="77777777">
        <w:tc>
          <w:tcPr>
            <w:tcW w:w="4650" w:type="dxa"/>
            <w:shd w:val="clear" w:color="auto" w:fill="D9EAD3"/>
          </w:tcPr>
          <w:p w14:paraId="5D880AF8" w14:textId="77777777" w:rsidR="003934E1" w:rsidRDefault="00000000">
            <w:pPr>
              <w:rPr>
                <w:rFonts w:ascii="Times New Roman" w:eastAsia="Times New Roman" w:hAnsi="Times New Roman" w:cs="Times New Roman"/>
              </w:rPr>
            </w:pPr>
            <w:r>
              <w:rPr>
                <w:rFonts w:ascii="Times New Roman" w:eastAsia="Times New Roman" w:hAnsi="Times New Roman" w:cs="Times New Roman"/>
                <w:b/>
              </w:rPr>
              <w:t>Technical Session 6</w:t>
            </w:r>
          </w:p>
        </w:tc>
        <w:tc>
          <w:tcPr>
            <w:tcW w:w="5040" w:type="dxa"/>
            <w:shd w:val="clear" w:color="auto" w:fill="D9EAD3"/>
          </w:tcPr>
          <w:p w14:paraId="4719AB07"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b/>
              </w:rPr>
              <w:t>Contribution of Indian Tribes in Shaping the History of India: 2 p.m.-3. p.m.</w:t>
            </w:r>
          </w:p>
        </w:tc>
      </w:tr>
      <w:tr w:rsidR="003934E1" w14:paraId="5E2124E9" w14:textId="77777777">
        <w:tc>
          <w:tcPr>
            <w:tcW w:w="4650" w:type="dxa"/>
          </w:tcPr>
          <w:p w14:paraId="5B7E6917"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rPr>
              <w:t>Anubhuti Agnes Bara</w:t>
            </w:r>
          </w:p>
        </w:tc>
        <w:tc>
          <w:tcPr>
            <w:tcW w:w="5040" w:type="dxa"/>
            <w:shd w:val="clear" w:color="auto" w:fill="D9D2E9"/>
          </w:tcPr>
          <w:p w14:paraId="1B927F0F"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rPr>
              <w:t>Chair/ Moderator: Dr. Richa Raj</w:t>
            </w:r>
          </w:p>
        </w:tc>
      </w:tr>
      <w:tr w:rsidR="003934E1" w14:paraId="47E979C8" w14:textId="77777777">
        <w:tc>
          <w:tcPr>
            <w:tcW w:w="4650" w:type="dxa"/>
          </w:tcPr>
          <w:p w14:paraId="3891DCE8"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lastRenderedPageBreak/>
              <w:t>Gopal Kumar &amp; Sanskriti Singh</w:t>
            </w:r>
          </w:p>
        </w:tc>
        <w:tc>
          <w:tcPr>
            <w:tcW w:w="5040" w:type="dxa"/>
            <w:shd w:val="clear" w:color="auto" w:fill="CFE2F3"/>
          </w:tcPr>
          <w:p w14:paraId="4ED47717"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Judges: Dr. Ayesha Gautam &amp; Dr. Amita Paliwal</w:t>
            </w:r>
          </w:p>
        </w:tc>
      </w:tr>
      <w:tr w:rsidR="003934E1" w14:paraId="2735DB49" w14:textId="77777777">
        <w:tc>
          <w:tcPr>
            <w:tcW w:w="4650" w:type="dxa"/>
          </w:tcPr>
          <w:p w14:paraId="62F1D1FC"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Asmita </w:t>
            </w:r>
            <w:proofErr w:type="spellStart"/>
            <w:r>
              <w:rPr>
                <w:rFonts w:ascii="Times New Roman" w:eastAsia="Times New Roman" w:hAnsi="Times New Roman" w:cs="Times New Roman"/>
              </w:rPr>
              <w:t>Khalkho</w:t>
            </w:r>
            <w:proofErr w:type="spellEnd"/>
          </w:p>
        </w:tc>
        <w:tc>
          <w:tcPr>
            <w:tcW w:w="5040" w:type="dxa"/>
            <w:shd w:val="clear" w:color="auto" w:fill="FFFF00"/>
          </w:tcPr>
          <w:p w14:paraId="721192B3"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Venue: AV Room Library Building</w:t>
            </w:r>
          </w:p>
        </w:tc>
      </w:tr>
      <w:tr w:rsidR="003934E1" w14:paraId="6337EA5F" w14:textId="77777777">
        <w:tc>
          <w:tcPr>
            <w:tcW w:w="4650" w:type="dxa"/>
          </w:tcPr>
          <w:p w14:paraId="582A358B" w14:textId="77777777" w:rsidR="003934E1" w:rsidRDefault="003934E1">
            <w:pPr>
              <w:rPr>
                <w:rFonts w:ascii="Times New Roman" w:eastAsia="Times New Roman" w:hAnsi="Times New Roman" w:cs="Times New Roman"/>
              </w:rPr>
            </w:pPr>
          </w:p>
        </w:tc>
        <w:tc>
          <w:tcPr>
            <w:tcW w:w="5040" w:type="dxa"/>
          </w:tcPr>
          <w:p w14:paraId="6654EDE9" w14:textId="77777777" w:rsidR="003934E1" w:rsidRDefault="003934E1">
            <w:pPr>
              <w:rPr>
                <w:rFonts w:ascii="Times New Roman" w:eastAsia="Times New Roman" w:hAnsi="Times New Roman" w:cs="Times New Roman"/>
              </w:rPr>
            </w:pPr>
          </w:p>
        </w:tc>
      </w:tr>
      <w:tr w:rsidR="003934E1" w14:paraId="7FC751F8" w14:textId="77777777">
        <w:tc>
          <w:tcPr>
            <w:tcW w:w="4650" w:type="dxa"/>
          </w:tcPr>
          <w:p w14:paraId="73271979" w14:textId="77777777" w:rsidR="003934E1" w:rsidRDefault="00000000">
            <w:pPr>
              <w:rPr>
                <w:rFonts w:ascii="Times New Roman" w:eastAsia="Times New Roman" w:hAnsi="Times New Roman" w:cs="Times New Roman"/>
              </w:rPr>
            </w:pPr>
            <w:r>
              <w:rPr>
                <w:rFonts w:ascii="Times New Roman" w:eastAsia="Times New Roman" w:hAnsi="Times New Roman" w:cs="Times New Roman"/>
                <w:b/>
              </w:rPr>
              <w:t>Valedictory Session</w:t>
            </w:r>
          </w:p>
        </w:tc>
        <w:tc>
          <w:tcPr>
            <w:tcW w:w="5040" w:type="dxa"/>
          </w:tcPr>
          <w:p w14:paraId="3E09246D"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3.10 p.m.- 4.30 p.m. </w:t>
            </w:r>
          </w:p>
        </w:tc>
      </w:tr>
      <w:tr w:rsidR="003934E1" w14:paraId="56E5D420" w14:textId="77777777">
        <w:tc>
          <w:tcPr>
            <w:tcW w:w="4650" w:type="dxa"/>
            <w:shd w:val="clear" w:color="auto" w:fill="FFE599"/>
          </w:tcPr>
          <w:p w14:paraId="1CA09846"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Valedictory Address</w:t>
            </w:r>
          </w:p>
        </w:tc>
        <w:tc>
          <w:tcPr>
            <w:tcW w:w="5040" w:type="dxa"/>
            <w:shd w:val="clear" w:color="auto" w:fill="FFE599"/>
          </w:tcPr>
          <w:p w14:paraId="57FE6E99"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Prof. Bipin Jojo</w:t>
            </w:r>
          </w:p>
        </w:tc>
      </w:tr>
      <w:tr w:rsidR="003934E1" w14:paraId="1BFD3C26" w14:textId="77777777">
        <w:tc>
          <w:tcPr>
            <w:tcW w:w="4650" w:type="dxa"/>
          </w:tcPr>
          <w:p w14:paraId="4A07A2B8"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rPr>
              <w:t>Prize Distribution</w:t>
            </w:r>
          </w:p>
        </w:tc>
        <w:tc>
          <w:tcPr>
            <w:tcW w:w="5040" w:type="dxa"/>
            <w:shd w:val="clear" w:color="auto" w:fill="FFFF00"/>
          </w:tcPr>
          <w:p w14:paraId="21FA578B"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Venue: Seminar Hall Third Floor</w:t>
            </w:r>
          </w:p>
        </w:tc>
      </w:tr>
      <w:tr w:rsidR="003934E1" w14:paraId="78D5B697" w14:textId="77777777">
        <w:tc>
          <w:tcPr>
            <w:tcW w:w="4650" w:type="dxa"/>
          </w:tcPr>
          <w:p w14:paraId="5CF950AD"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Distribution of Certificates</w:t>
            </w:r>
          </w:p>
        </w:tc>
        <w:tc>
          <w:tcPr>
            <w:tcW w:w="5040" w:type="dxa"/>
          </w:tcPr>
          <w:p w14:paraId="6398D2A4" w14:textId="77777777" w:rsidR="003934E1" w:rsidRDefault="003934E1">
            <w:pPr>
              <w:rPr>
                <w:rFonts w:ascii="Times New Roman" w:eastAsia="Times New Roman" w:hAnsi="Times New Roman" w:cs="Times New Roman"/>
              </w:rPr>
            </w:pPr>
          </w:p>
        </w:tc>
      </w:tr>
      <w:tr w:rsidR="003934E1" w14:paraId="3691D655" w14:textId="77777777">
        <w:tc>
          <w:tcPr>
            <w:tcW w:w="4650" w:type="dxa"/>
            <w:shd w:val="clear" w:color="auto" w:fill="FFF2CC"/>
          </w:tcPr>
          <w:p w14:paraId="39CAB6F7"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Vote of Thanks</w:t>
            </w:r>
          </w:p>
        </w:tc>
        <w:tc>
          <w:tcPr>
            <w:tcW w:w="5040" w:type="dxa"/>
            <w:shd w:val="clear" w:color="auto" w:fill="FFF2CC"/>
          </w:tcPr>
          <w:p w14:paraId="30DA022A"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Dr. Bipasha R. Lakra &amp; Dr. Juhi </w:t>
            </w:r>
            <w:proofErr w:type="spellStart"/>
            <w:r>
              <w:rPr>
                <w:rFonts w:ascii="Times New Roman" w:eastAsia="Times New Roman" w:hAnsi="Times New Roman" w:cs="Times New Roman"/>
              </w:rPr>
              <w:t>Rose.V</w:t>
            </w:r>
            <w:proofErr w:type="spellEnd"/>
            <w:r>
              <w:rPr>
                <w:rFonts w:ascii="Times New Roman" w:eastAsia="Times New Roman" w:hAnsi="Times New Roman" w:cs="Times New Roman"/>
              </w:rPr>
              <w:t>. Minz</w:t>
            </w:r>
          </w:p>
        </w:tc>
      </w:tr>
      <w:tr w:rsidR="003934E1" w14:paraId="690C775D" w14:textId="77777777">
        <w:tc>
          <w:tcPr>
            <w:tcW w:w="4650" w:type="dxa"/>
            <w:shd w:val="clear" w:color="auto" w:fill="DD7E6B"/>
          </w:tcPr>
          <w:p w14:paraId="13D842E3" w14:textId="77777777" w:rsidR="003934E1" w:rsidRDefault="00000000">
            <w:pPr>
              <w:rPr>
                <w:rFonts w:ascii="Times New Roman" w:eastAsia="Times New Roman" w:hAnsi="Times New Roman" w:cs="Times New Roman"/>
              </w:rPr>
            </w:pPr>
            <w:r>
              <w:rPr>
                <w:rFonts w:ascii="Times New Roman" w:eastAsia="Times New Roman" w:hAnsi="Times New Roman" w:cs="Times New Roman"/>
                <w:b/>
              </w:rPr>
              <w:t>High Tea</w:t>
            </w:r>
          </w:p>
        </w:tc>
        <w:tc>
          <w:tcPr>
            <w:tcW w:w="5040" w:type="dxa"/>
            <w:shd w:val="clear" w:color="auto" w:fill="DD7E6B"/>
          </w:tcPr>
          <w:p w14:paraId="6A8AC74B"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Common Room Ground Floor</w:t>
            </w:r>
          </w:p>
        </w:tc>
      </w:tr>
    </w:tbl>
    <w:p w14:paraId="1E4C12F0" w14:textId="77777777" w:rsidR="003934E1" w:rsidRDefault="003934E1"/>
    <w:p w14:paraId="677F4718" w14:textId="77777777" w:rsidR="003934E1" w:rsidRDefault="003934E1">
      <w:pPr>
        <w:spacing w:line="276" w:lineRule="auto"/>
        <w:jc w:val="both"/>
        <w:rPr>
          <w:rFonts w:ascii="Times New Roman" w:eastAsia="Times New Roman" w:hAnsi="Times New Roman" w:cs="Times New Roman"/>
        </w:rPr>
      </w:pPr>
    </w:p>
    <w:p w14:paraId="18D74F9E" w14:textId="77777777" w:rsidR="003934E1" w:rsidRDefault="003934E1">
      <w:pPr>
        <w:spacing w:line="276" w:lineRule="auto"/>
        <w:jc w:val="both"/>
        <w:rPr>
          <w:rFonts w:ascii="Times New Roman" w:eastAsia="Times New Roman" w:hAnsi="Times New Roman" w:cs="Times New Roman"/>
        </w:rPr>
      </w:pPr>
    </w:p>
    <w:p w14:paraId="17162975" w14:textId="77777777" w:rsidR="003934E1" w:rsidRDefault="003934E1">
      <w:pPr>
        <w:spacing w:line="276" w:lineRule="auto"/>
        <w:jc w:val="both"/>
        <w:rPr>
          <w:rFonts w:ascii="Times New Roman" w:eastAsia="Times New Roman" w:hAnsi="Times New Roman" w:cs="Times New Roman"/>
        </w:rPr>
      </w:pPr>
    </w:p>
    <w:p w14:paraId="484124CD"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List of Actual Participants of the Seminar</w:t>
      </w:r>
    </w:p>
    <w:p w14:paraId="062DA843" w14:textId="77777777" w:rsidR="003934E1" w:rsidRDefault="003934E1">
      <w:pPr>
        <w:jc w:val="center"/>
        <w:rPr>
          <w:rFonts w:ascii="Times New Roman" w:eastAsia="Times New Roman" w:hAnsi="Times New Roman" w:cs="Times New Roman"/>
          <w:b/>
        </w:rPr>
      </w:pPr>
    </w:p>
    <w:p w14:paraId="209CD960" w14:textId="77777777" w:rsidR="003934E1" w:rsidRDefault="003934E1">
      <w:pPr>
        <w:jc w:val="center"/>
        <w:rPr>
          <w:rFonts w:ascii="Times New Roman" w:eastAsia="Times New Roman" w:hAnsi="Times New Roman" w:cs="Times New Roman"/>
          <w:b/>
        </w:rPr>
      </w:pPr>
    </w:p>
    <w:p w14:paraId="3C4BF2D8" w14:textId="77777777" w:rsidR="003934E1" w:rsidRDefault="003934E1">
      <w:pPr>
        <w:jc w:val="center"/>
        <w:rPr>
          <w:rFonts w:ascii="Times New Roman" w:eastAsia="Times New Roman" w:hAnsi="Times New Roman" w:cs="Times New Roman"/>
          <w:b/>
        </w:rPr>
      </w:pPr>
    </w:p>
    <w:p w14:paraId="48B0206F" w14:textId="77777777" w:rsidR="003934E1" w:rsidRDefault="00000000">
      <w:pPr>
        <w:rPr>
          <w:rFonts w:ascii="Times New Roman" w:eastAsia="Times New Roman" w:hAnsi="Times New Roman" w:cs="Times New Roman"/>
        </w:rPr>
      </w:pPr>
      <w:r>
        <w:rPr>
          <w:rFonts w:ascii="Times New Roman" w:eastAsia="Times New Roman" w:hAnsi="Times New Roman" w:cs="Times New Roman"/>
          <w:b/>
        </w:rPr>
        <w:t>Chief Guest</w:t>
      </w:r>
      <w:r>
        <w:rPr>
          <w:rFonts w:ascii="Times New Roman" w:eastAsia="Times New Roman" w:hAnsi="Times New Roman" w:cs="Times New Roman"/>
        </w:rPr>
        <w:t xml:space="preserve">: Prof. </w:t>
      </w:r>
      <w:proofErr w:type="spellStart"/>
      <w:r>
        <w:rPr>
          <w:rFonts w:ascii="Times New Roman" w:eastAsia="Times New Roman" w:hAnsi="Times New Roman" w:cs="Times New Roman"/>
        </w:rPr>
        <w:t>Sonajharia</w:t>
      </w:r>
      <w:proofErr w:type="spellEnd"/>
      <w:r>
        <w:rPr>
          <w:rFonts w:ascii="Times New Roman" w:eastAsia="Times New Roman" w:hAnsi="Times New Roman" w:cs="Times New Roman"/>
        </w:rPr>
        <w:t xml:space="preserve"> Minz</w:t>
      </w:r>
    </w:p>
    <w:p w14:paraId="27D9259B" w14:textId="77777777" w:rsidR="003934E1" w:rsidRDefault="00000000">
      <w:pPr>
        <w:rPr>
          <w:rFonts w:ascii="Times New Roman" w:eastAsia="Times New Roman" w:hAnsi="Times New Roman" w:cs="Times New Roman"/>
        </w:rPr>
      </w:pPr>
      <w:r>
        <w:rPr>
          <w:rFonts w:ascii="Times New Roman" w:eastAsia="Times New Roman" w:hAnsi="Times New Roman" w:cs="Times New Roman"/>
          <w:b/>
        </w:rPr>
        <w:t>Keynote Speaker</w:t>
      </w:r>
      <w:r>
        <w:rPr>
          <w:rFonts w:ascii="Times New Roman" w:eastAsia="Times New Roman" w:hAnsi="Times New Roman" w:cs="Times New Roman"/>
        </w:rPr>
        <w:t xml:space="preserve"> : Prof. G.N. Devy</w:t>
      </w:r>
    </w:p>
    <w:p w14:paraId="508478A2"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Expert Panel 1</w:t>
      </w:r>
    </w:p>
    <w:p w14:paraId="0514CA14"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Prof. Virginius </w:t>
      </w: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IHT, Delhi</w:t>
      </w:r>
    </w:p>
    <w:p w14:paraId="099911F9"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Prof. Joseph Bara, SRA, University of Sussex</w:t>
      </w:r>
    </w:p>
    <w:p w14:paraId="5053337B"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Dr. Rahul Ranjan, University of Edinburgh</w:t>
      </w:r>
    </w:p>
    <w:p w14:paraId="22EACE1A" w14:textId="77777777" w:rsidR="003934E1" w:rsidRDefault="003934E1">
      <w:pPr>
        <w:rPr>
          <w:rFonts w:ascii="Times New Roman" w:eastAsia="Times New Roman" w:hAnsi="Times New Roman" w:cs="Times New Roman"/>
        </w:rPr>
      </w:pPr>
    </w:p>
    <w:p w14:paraId="24F17BD0"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 xml:space="preserve">Technical Session 1: </w:t>
      </w:r>
    </w:p>
    <w:p w14:paraId="5F278F29"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Anindita Saha</w:t>
      </w:r>
    </w:p>
    <w:p w14:paraId="0BAC055E"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Harshvardhan Gautam</w:t>
      </w:r>
    </w:p>
    <w:p w14:paraId="6156A915" w14:textId="77777777" w:rsidR="003934E1" w:rsidRDefault="003934E1">
      <w:pPr>
        <w:rPr>
          <w:rFonts w:ascii="Times New Roman" w:eastAsia="Times New Roman" w:hAnsi="Times New Roman" w:cs="Times New Roman"/>
        </w:rPr>
      </w:pPr>
    </w:p>
    <w:p w14:paraId="54A184D6"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Technical Session 2:</w:t>
      </w:r>
    </w:p>
    <w:p w14:paraId="5371E965"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Jishnu Suresh</w:t>
      </w:r>
    </w:p>
    <w:p w14:paraId="5413B7DC"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Roshan </w:t>
      </w:r>
      <w:proofErr w:type="spellStart"/>
      <w:r>
        <w:rPr>
          <w:rFonts w:ascii="Times New Roman" w:eastAsia="Times New Roman" w:hAnsi="Times New Roman" w:cs="Times New Roman"/>
        </w:rPr>
        <w:t>Xalxo</w:t>
      </w:r>
      <w:proofErr w:type="spellEnd"/>
    </w:p>
    <w:p w14:paraId="1381498B"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Manish Surin</w:t>
      </w:r>
    </w:p>
    <w:p w14:paraId="61EF0C12" w14:textId="77777777" w:rsidR="003934E1" w:rsidRDefault="003934E1">
      <w:pPr>
        <w:rPr>
          <w:rFonts w:ascii="Times New Roman" w:eastAsia="Times New Roman" w:hAnsi="Times New Roman" w:cs="Times New Roman"/>
        </w:rPr>
      </w:pPr>
    </w:p>
    <w:p w14:paraId="2AAEFFAF"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Technical Session 3:</w:t>
      </w:r>
    </w:p>
    <w:p w14:paraId="16939AB1"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Samarth Singhal</w:t>
      </w:r>
    </w:p>
    <w:p w14:paraId="37A24208"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Aishwarya Bhattacharyya</w:t>
      </w:r>
    </w:p>
    <w:p w14:paraId="66CBFC8E"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Muhammad Sinan and </w:t>
      </w:r>
      <w:proofErr w:type="spellStart"/>
      <w:r>
        <w:rPr>
          <w:rFonts w:ascii="Times New Roman" w:eastAsia="Times New Roman" w:hAnsi="Times New Roman" w:cs="Times New Roman"/>
        </w:rPr>
        <w:t>Abusalan</w:t>
      </w:r>
      <w:proofErr w:type="spellEnd"/>
      <w:r>
        <w:rPr>
          <w:rFonts w:ascii="Times New Roman" w:eastAsia="Times New Roman" w:hAnsi="Times New Roman" w:cs="Times New Roman"/>
        </w:rPr>
        <w:t xml:space="preserve"> T S</w:t>
      </w:r>
    </w:p>
    <w:p w14:paraId="3AA4B0A6" w14:textId="77777777" w:rsidR="003934E1" w:rsidRDefault="003934E1">
      <w:pPr>
        <w:rPr>
          <w:rFonts w:ascii="Times New Roman" w:eastAsia="Times New Roman" w:hAnsi="Times New Roman" w:cs="Times New Roman"/>
        </w:rPr>
      </w:pPr>
    </w:p>
    <w:p w14:paraId="5B199AB5" w14:textId="77777777" w:rsidR="003934E1" w:rsidRDefault="00000000">
      <w:pPr>
        <w:rPr>
          <w:rFonts w:ascii="Times New Roman" w:eastAsia="Times New Roman" w:hAnsi="Times New Roman" w:cs="Times New Roman"/>
        </w:rPr>
      </w:pPr>
      <w:r>
        <w:rPr>
          <w:rFonts w:ascii="Times New Roman" w:eastAsia="Times New Roman" w:hAnsi="Times New Roman" w:cs="Times New Roman"/>
          <w:b/>
        </w:rPr>
        <w:t>Film Screening</w:t>
      </w:r>
      <w:r>
        <w:rPr>
          <w:rFonts w:ascii="Times New Roman" w:eastAsia="Times New Roman" w:hAnsi="Times New Roman" w:cs="Times New Roman"/>
        </w:rPr>
        <w:t xml:space="preserve"> by Mr. Biju Toppo Noted Adivasi Film Maker</w:t>
      </w:r>
    </w:p>
    <w:p w14:paraId="0050F9C2" w14:textId="77777777" w:rsidR="003934E1" w:rsidRDefault="003934E1">
      <w:pPr>
        <w:rPr>
          <w:rFonts w:ascii="Times New Roman" w:eastAsia="Times New Roman" w:hAnsi="Times New Roman" w:cs="Times New Roman"/>
        </w:rPr>
      </w:pPr>
    </w:p>
    <w:p w14:paraId="3D8A3F73"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Expert Panel 2</w:t>
      </w:r>
    </w:p>
    <w:p w14:paraId="7BB0EC8D"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Prof. Bipin Jojo, TISS, Mumbai</w:t>
      </w:r>
    </w:p>
    <w:p w14:paraId="4D6FDA47"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Dr. Gomati Bodra, Jamia Millia Islamia</w:t>
      </w:r>
    </w:p>
    <w:p w14:paraId="5715B5C6"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Dr. Ayesha Gautam, Delhi University</w:t>
      </w:r>
    </w:p>
    <w:p w14:paraId="76EB60EA" w14:textId="77777777" w:rsidR="003934E1" w:rsidRDefault="003934E1">
      <w:pPr>
        <w:rPr>
          <w:rFonts w:ascii="Times New Roman" w:eastAsia="Times New Roman" w:hAnsi="Times New Roman" w:cs="Times New Roman"/>
        </w:rPr>
      </w:pPr>
    </w:p>
    <w:p w14:paraId="3EF1F81B" w14:textId="77777777" w:rsidR="003934E1" w:rsidRDefault="003934E1">
      <w:pPr>
        <w:rPr>
          <w:rFonts w:ascii="Times New Roman" w:eastAsia="Times New Roman" w:hAnsi="Times New Roman" w:cs="Times New Roman"/>
        </w:rPr>
      </w:pPr>
    </w:p>
    <w:p w14:paraId="63C7EA77"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Expert Panel 3</w:t>
      </w:r>
    </w:p>
    <w:p w14:paraId="077ABC16"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Dr. Rahi Soren, Jadavpur University</w:t>
      </w:r>
    </w:p>
    <w:p w14:paraId="0A8E5E34"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lastRenderedPageBreak/>
        <w:t xml:space="preserve">Dr. </w:t>
      </w:r>
      <w:proofErr w:type="spellStart"/>
      <w:r>
        <w:rPr>
          <w:rFonts w:ascii="Times New Roman" w:eastAsia="Times New Roman" w:hAnsi="Times New Roman" w:cs="Times New Roman"/>
        </w:rPr>
        <w:t>Roluahpuia</w:t>
      </w:r>
      <w:proofErr w:type="spellEnd"/>
      <w:r>
        <w:rPr>
          <w:rFonts w:ascii="Times New Roman" w:eastAsia="Times New Roman" w:hAnsi="Times New Roman" w:cs="Times New Roman"/>
        </w:rPr>
        <w:t>, IIT Roorkee</w:t>
      </w:r>
    </w:p>
    <w:p w14:paraId="12C0ABF0"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Dr. Deepali </w:t>
      </w:r>
      <w:proofErr w:type="spellStart"/>
      <w:r>
        <w:rPr>
          <w:rFonts w:ascii="Times New Roman" w:eastAsia="Times New Roman" w:hAnsi="Times New Roman" w:cs="Times New Roman"/>
        </w:rPr>
        <w:t>Dungdung</w:t>
      </w:r>
      <w:proofErr w:type="spellEnd"/>
      <w:r>
        <w:rPr>
          <w:rFonts w:ascii="Times New Roman" w:eastAsia="Times New Roman" w:hAnsi="Times New Roman" w:cs="Times New Roman"/>
        </w:rPr>
        <w:t>, Ranchi University</w:t>
      </w:r>
    </w:p>
    <w:p w14:paraId="0490CEC3" w14:textId="77777777" w:rsidR="003934E1" w:rsidRDefault="003934E1">
      <w:pPr>
        <w:rPr>
          <w:rFonts w:ascii="Times New Roman" w:eastAsia="Times New Roman" w:hAnsi="Times New Roman" w:cs="Times New Roman"/>
        </w:rPr>
      </w:pPr>
    </w:p>
    <w:p w14:paraId="4258C7A3" w14:textId="77777777" w:rsidR="003934E1" w:rsidRDefault="003934E1">
      <w:pPr>
        <w:rPr>
          <w:rFonts w:ascii="Times New Roman" w:eastAsia="Times New Roman" w:hAnsi="Times New Roman" w:cs="Times New Roman"/>
        </w:rPr>
      </w:pPr>
    </w:p>
    <w:p w14:paraId="62EF85EA"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Technical Session 4</w:t>
      </w:r>
    </w:p>
    <w:p w14:paraId="19F149B6"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Aditi Tirkey</w:t>
      </w:r>
    </w:p>
    <w:p w14:paraId="58A58D94"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Valentine </w:t>
      </w:r>
      <w:proofErr w:type="spellStart"/>
      <w:r>
        <w:rPr>
          <w:rFonts w:ascii="Times New Roman" w:eastAsia="Times New Roman" w:hAnsi="Times New Roman" w:cs="Times New Roman"/>
        </w:rPr>
        <w:t>Sinduria</w:t>
      </w:r>
      <w:proofErr w:type="spellEnd"/>
    </w:p>
    <w:p w14:paraId="62354506"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Swati </w:t>
      </w:r>
      <w:proofErr w:type="spellStart"/>
      <w:r>
        <w:rPr>
          <w:rFonts w:ascii="Times New Roman" w:eastAsia="Times New Roman" w:hAnsi="Times New Roman" w:cs="Times New Roman"/>
        </w:rPr>
        <w:t>Bijawat</w:t>
      </w:r>
      <w:proofErr w:type="spellEnd"/>
      <w:r>
        <w:rPr>
          <w:rFonts w:ascii="Times New Roman" w:eastAsia="Times New Roman" w:hAnsi="Times New Roman" w:cs="Times New Roman"/>
        </w:rPr>
        <w:t xml:space="preserve"> and Preeti </w:t>
      </w:r>
      <w:proofErr w:type="spellStart"/>
      <w:r>
        <w:rPr>
          <w:rFonts w:ascii="Times New Roman" w:eastAsia="Times New Roman" w:hAnsi="Times New Roman" w:cs="Times New Roman"/>
        </w:rPr>
        <w:t>Hariyani</w:t>
      </w:r>
      <w:proofErr w:type="spellEnd"/>
    </w:p>
    <w:p w14:paraId="30A5E45A" w14:textId="77777777" w:rsidR="003934E1" w:rsidRDefault="003934E1">
      <w:pPr>
        <w:rPr>
          <w:rFonts w:ascii="Times New Roman" w:eastAsia="Times New Roman" w:hAnsi="Times New Roman" w:cs="Times New Roman"/>
        </w:rPr>
      </w:pPr>
    </w:p>
    <w:p w14:paraId="67361D1F"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Technical Session 5</w:t>
      </w:r>
    </w:p>
    <w:p w14:paraId="22081298"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Sahib Singh Tulsi</w:t>
      </w:r>
    </w:p>
    <w:p w14:paraId="2ABE0D03"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Himanshu Shukla</w:t>
      </w:r>
    </w:p>
    <w:p w14:paraId="580603FB"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Hephzibah B. John</w:t>
      </w:r>
    </w:p>
    <w:p w14:paraId="79D3907E"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Sanghamitra R. Verman</w:t>
      </w:r>
    </w:p>
    <w:p w14:paraId="445B2995" w14:textId="77777777" w:rsidR="003934E1" w:rsidRDefault="003934E1">
      <w:pPr>
        <w:rPr>
          <w:rFonts w:ascii="Times New Roman" w:eastAsia="Times New Roman" w:hAnsi="Times New Roman" w:cs="Times New Roman"/>
        </w:rPr>
      </w:pPr>
    </w:p>
    <w:p w14:paraId="7857240C"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Technical Session 6</w:t>
      </w:r>
    </w:p>
    <w:p w14:paraId="420EE848"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Anubhuti Agnes Bara</w:t>
      </w:r>
    </w:p>
    <w:p w14:paraId="50F1D8AA"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Gopal Kumar and Sanskriti Singh</w:t>
      </w:r>
    </w:p>
    <w:p w14:paraId="6911C8AC"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Asmita </w:t>
      </w:r>
      <w:proofErr w:type="spellStart"/>
      <w:r>
        <w:rPr>
          <w:rFonts w:ascii="Times New Roman" w:eastAsia="Times New Roman" w:hAnsi="Times New Roman" w:cs="Times New Roman"/>
        </w:rPr>
        <w:t>Khalkho</w:t>
      </w:r>
      <w:proofErr w:type="spellEnd"/>
    </w:p>
    <w:p w14:paraId="6A4C634C" w14:textId="77777777" w:rsidR="003934E1" w:rsidRDefault="003934E1">
      <w:pPr>
        <w:spacing w:line="276" w:lineRule="auto"/>
        <w:jc w:val="both"/>
        <w:rPr>
          <w:rFonts w:ascii="Times New Roman" w:eastAsia="Times New Roman" w:hAnsi="Times New Roman" w:cs="Times New Roman"/>
        </w:rPr>
      </w:pPr>
    </w:p>
    <w:p w14:paraId="564FF429" w14:textId="77777777" w:rsidR="003934E1" w:rsidRDefault="003934E1">
      <w:pPr>
        <w:spacing w:line="276" w:lineRule="auto"/>
        <w:rPr>
          <w:rFonts w:ascii="Times New Roman" w:eastAsia="Times New Roman" w:hAnsi="Times New Roman" w:cs="Times New Roman"/>
          <w:b/>
        </w:rPr>
      </w:pPr>
    </w:p>
    <w:p w14:paraId="5456BFF4" w14:textId="77777777" w:rsidR="003934E1" w:rsidRPr="00EB61EF" w:rsidRDefault="00000000">
      <w:pPr>
        <w:spacing w:line="276" w:lineRule="auto"/>
        <w:jc w:val="center"/>
        <w:rPr>
          <w:rFonts w:ascii="Times New Roman" w:eastAsia="Times New Roman" w:hAnsi="Times New Roman" w:cs="Times New Roman"/>
          <w:b/>
          <w:sz w:val="28"/>
          <w:szCs w:val="28"/>
          <w:u w:val="single"/>
        </w:rPr>
      </w:pPr>
      <w:r w:rsidRPr="00EB61EF">
        <w:rPr>
          <w:rFonts w:ascii="Times New Roman" w:eastAsia="Times New Roman" w:hAnsi="Times New Roman" w:cs="Times New Roman"/>
          <w:b/>
          <w:sz w:val="28"/>
          <w:szCs w:val="28"/>
          <w:u w:val="single"/>
        </w:rPr>
        <w:t>Exact Titles and Presenters of Each of the Session</w:t>
      </w:r>
    </w:p>
    <w:p w14:paraId="19886FD8" w14:textId="77777777" w:rsidR="003934E1" w:rsidRPr="00EB61EF" w:rsidRDefault="003934E1">
      <w:pPr>
        <w:rPr>
          <w:rFonts w:ascii="Times New Roman" w:eastAsia="Times New Roman" w:hAnsi="Times New Roman" w:cs="Times New Roman"/>
          <w:b/>
          <w:sz w:val="28"/>
          <w:szCs w:val="28"/>
          <w:u w:val="single"/>
        </w:rPr>
      </w:pPr>
    </w:p>
    <w:p w14:paraId="2237785A" w14:textId="77777777" w:rsidR="003934E1" w:rsidRDefault="003934E1">
      <w:pPr>
        <w:rPr>
          <w:rFonts w:ascii="Times New Roman" w:eastAsia="Times New Roman" w:hAnsi="Times New Roman" w:cs="Times New Roman"/>
          <w:b/>
        </w:rPr>
      </w:pPr>
    </w:p>
    <w:p w14:paraId="4510E817" w14:textId="77777777" w:rsidR="003934E1"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Technical Session 1: 29th July 2025 Day 1</w:t>
      </w:r>
    </w:p>
    <w:p w14:paraId="34A49A90" w14:textId="77777777" w:rsidR="003934E1" w:rsidRDefault="003934E1">
      <w:pPr>
        <w:rPr>
          <w:rFonts w:ascii="Times New Roman" w:eastAsia="Times New Roman" w:hAnsi="Times New Roman" w:cs="Times New Roman"/>
          <w:b/>
        </w:rPr>
      </w:pPr>
    </w:p>
    <w:p w14:paraId="29CA68D8" w14:textId="77777777" w:rsidR="003934E1" w:rsidRDefault="00000000">
      <w:pPr>
        <w:rPr>
          <w:rFonts w:ascii="Times New Roman" w:eastAsia="Times New Roman" w:hAnsi="Times New Roman" w:cs="Times New Roman"/>
          <w:i/>
        </w:rPr>
      </w:pPr>
      <w:r>
        <w:rPr>
          <w:rFonts w:ascii="Times New Roman" w:eastAsia="Times New Roman" w:hAnsi="Times New Roman" w:cs="Times New Roman"/>
          <w:b/>
        </w:rPr>
        <w:t>Anindita Saha:</w:t>
      </w:r>
      <w:r>
        <w:rPr>
          <w:rFonts w:ascii="Times New Roman" w:eastAsia="Times New Roman" w:hAnsi="Times New Roman" w:cs="Times New Roman"/>
        </w:rPr>
        <w:t xml:space="preserve"> </w:t>
      </w:r>
      <w:r>
        <w:rPr>
          <w:rFonts w:ascii="Times New Roman" w:eastAsia="Times New Roman" w:hAnsi="Times New Roman" w:cs="Times New Roman"/>
          <w:i/>
        </w:rPr>
        <w:t>“Tribal Folklore as Historical Source: Contributions of North Bengal’s Indigenous Communities to Indian History.”</w:t>
      </w:r>
    </w:p>
    <w:p w14:paraId="5524FAD6" w14:textId="77777777" w:rsidR="003934E1" w:rsidRDefault="003934E1">
      <w:pPr>
        <w:rPr>
          <w:rFonts w:ascii="Times New Roman" w:eastAsia="Times New Roman" w:hAnsi="Times New Roman" w:cs="Times New Roman"/>
          <w:i/>
        </w:rPr>
      </w:pPr>
    </w:p>
    <w:p w14:paraId="06B7D1D1" w14:textId="77777777" w:rsidR="003934E1" w:rsidRDefault="00000000">
      <w:pPr>
        <w:rPr>
          <w:rFonts w:ascii="Times New Roman" w:eastAsia="Times New Roman" w:hAnsi="Times New Roman" w:cs="Times New Roman"/>
          <w:i/>
          <w:sz w:val="26"/>
          <w:szCs w:val="26"/>
        </w:rPr>
      </w:pPr>
      <w:r>
        <w:rPr>
          <w:rFonts w:ascii="Times New Roman" w:eastAsia="Times New Roman" w:hAnsi="Times New Roman" w:cs="Times New Roman"/>
          <w:b/>
        </w:rPr>
        <w:t>Harshvardhan Gautam</w:t>
      </w:r>
      <w:r>
        <w:rPr>
          <w:rFonts w:ascii="Times New Roman" w:eastAsia="Times New Roman" w:hAnsi="Times New Roman" w:cs="Times New Roman"/>
        </w:rPr>
        <w:t xml:space="preserve">: </w:t>
      </w:r>
      <w:r>
        <w:rPr>
          <w:rFonts w:ascii="Times New Roman" w:eastAsia="Times New Roman" w:hAnsi="Times New Roman" w:cs="Times New Roman"/>
          <w:i/>
          <w:color w:val="222222"/>
          <w:highlight w:val="white"/>
        </w:rPr>
        <w:t>"Indigenous culture of Gond Tribe in Madhya Pradesh: Preserving Identity through Rituals, Arts and Festivals"</w:t>
      </w:r>
    </w:p>
    <w:p w14:paraId="54F8EBE2" w14:textId="77777777" w:rsidR="003934E1" w:rsidRDefault="003934E1">
      <w:pPr>
        <w:rPr>
          <w:rFonts w:ascii="Times New Roman" w:eastAsia="Times New Roman" w:hAnsi="Times New Roman" w:cs="Times New Roman"/>
        </w:rPr>
      </w:pPr>
    </w:p>
    <w:p w14:paraId="6C7E1657" w14:textId="77777777" w:rsidR="003934E1"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Technical Session 2: 29th July 2025 Day 1</w:t>
      </w:r>
    </w:p>
    <w:p w14:paraId="3C2BEE42" w14:textId="77777777" w:rsidR="003934E1" w:rsidRDefault="003934E1">
      <w:pPr>
        <w:rPr>
          <w:rFonts w:ascii="Times New Roman" w:eastAsia="Times New Roman" w:hAnsi="Times New Roman" w:cs="Times New Roman"/>
          <w:b/>
        </w:rPr>
      </w:pPr>
    </w:p>
    <w:p w14:paraId="7C602DF8" w14:textId="77777777" w:rsidR="003934E1" w:rsidRDefault="00000000">
      <w:pPr>
        <w:rPr>
          <w:rFonts w:ascii="Times New Roman" w:eastAsia="Times New Roman" w:hAnsi="Times New Roman" w:cs="Times New Roman"/>
        </w:rPr>
      </w:pPr>
      <w:r>
        <w:rPr>
          <w:rFonts w:ascii="Times New Roman" w:eastAsia="Times New Roman" w:hAnsi="Times New Roman" w:cs="Times New Roman"/>
          <w:b/>
        </w:rPr>
        <w:t>Jishnu Suresh:</w:t>
      </w:r>
      <w:r>
        <w:rPr>
          <w:rFonts w:ascii="Times New Roman" w:eastAsia="Times New Roman" w:hAnsi="Times New Roman" w:cs="Times New Roman"/>
        </w:rPr>
        <w:t xml:space="preserve"> </w:t>
      </w:r>
      <w:r>
        <w:rPr>
          <w:rFonts w:ascii="Times New Roman" w:eastAsia="Times New Roman" w:hAnsi="Times New Roman" w:cs="Times New Roman"/>
          <w:i/>
        </w:rPr>
        <w:t>“Decolonizing Tribal Studies: Understanding Tribal Identity Beyond Stereotypes.”</w:t>
      </w:r>
      <w:r>
        <w:rPr>
          <w:rFonts w:ascii="Times New Roman" w:eastAsia="Times New Roman" w:hAnsi="Times New Roman" w:cs="Times New Roman"/>
        </w:rPr>
        <w:t xml:space="preserve"> </w:t>
      </w:r>
    </w:p>
    <w:p w14:paraId="10D074B0" w14:textId="77777777" w:rsidR="003934E1" w:rsidRDefault="003934E1">
      <w:pPr>
        <w:rPr>
          <w:rFonts w:ascii="Times New Roman" w:eastAsia="Times New Roman" w:hAnsi="Times New Roman" w:cs="Times New Roman"/>
        </w:rPr>
      </w:pPr>
    </w:p>
    <w:p w14:paraId="28194580" w14:textId="77777777" w:rsidR="003934E1" w:rsidRDefault="00000000">
      <w:pPr>
        <w:rPr>
          <w:rFonts w:ascii="Times New Roman" w:eastAsia="Times New Roman" w:hAnsi="Times New Roman" w:cs="Times New Roman"/>
        </w:rPr>
      </w:pPr>
      <w:r>
        <w:rPr>
          <w:rFonts w:ascii="Times New Roman" w:eastAsia="Times New Roman" w:hAnsi="Times New Roman" w:cs="Times New Roman"/>
          <w:b/>
        </w:rPr>
        <w:t xml:space="preserve">Roshan </w:t>
      </w:r>
      <w:proofErr w:type="spellStart"/>
      <w:r>
        <w:rPr>
          <w:rFonts w:ascii="Times New Roman" w:eastAsia="Times New Roman" w:hAnsi="Times New Roman" w:cs="Times New Roman"/>
          <w:b/>
        </w:rPr>
        <w:t>Xalxo</w:t>
      </w:r>
      <w:proofErr w:type="spellEnd"/>
      <w:r>
        <w:rPr>
          <w:rFonts w:ascii="Times New Roman" w:eastAsia="Times New Roman" w:hAnsi="Times New Roman" w:cs="Times New Roman"/>
          <w:b/>
        </w:rPr>
        <w:t xml:space="preserve">: </w:t>
      </w:r>
      <w:r>
        <w:rPr>
          <w:rFonts w:ascii="Times New Roman" w:eastAsia="Times New Roman" w:hAnsi="Times New Roman" w:cs="Times New Roman"/>
          <w:i/>
        </w:rPr>
        <w:t>“</w:t>
      </w:r>
      <w:proofErr w:type="spellStart"/>
      <w:r>
        <w:rPr>
          <w:rFonts w:ascii="Times New Roman" w:eastAsia="Times New Roman" w:hAnsi="Times New Roman" w:cs="Times New Roman"/>
          <w:i/>
        </w:rPr>
        <w:t>Adivasiyat</w:t>
      </w:r>
      <w:proofErr w:type="spellEnd"/>
      <w:r>
        <w:rPr>
          <w:rFonts w:ascii="Times New Roman" w:eastAsia="Times New Roman" w:hAnsi="Times New Roman" w:cs="Times New Roman"/>
          <w:i/>
        </w:rPr>
        <w:t>: A Philosophy to Decolonise the Tribe.”</w:t>
      </w:r>
      <w:r>
        <w:rPr>
          <w:rFonts w:ascii="Times New Roman" w:eastAsia="Times New Roman" w:hAnsi="Times New Roman" w:cs="Times New Roman"/>
        </w:rPr>
        <w:t xml:space="preserve"> </w:t>
      </w:r>
    </w:p>
    <w:p w14:paraId="6C8C16DD" w14:textId="77777777" w:rsidR="003934E1" w:rsidRDefault="003934E1">
      <w:pPr>
        <w:rPr>
          <w:rFonts w:ascii="Times New Roman" w:eastAsia="Times New Roman" w:hAnsi="Times New Roman" w:cs="Times New Roman"/>
        </w:rPr>
      </w:pPr>
    </w:p>
    <w:p w14:paraId="5556148B" w14:textId="77777777" w:rsidR="003934E1" w:rsidRDefault="00000000">
      <w:pPr>
        <w:rPr>
          <w:rFonts w:ascii="Times New Roman" w:eastAsia="Times New Roman" w:hAnsi="Times New Roman" w:cs="Times New Roman"/>
        </w:rPr>
      </w:pPr>
      <w:r>
        <w:rPr>
          <w:rFonts w:ascii="Times New Roman" w:eastAsia="Times New Roman" w:hAnsi="Times New Roman" w:cs="Times New Roman"/>
          <w:b/>
        </w:rPr>
        <w:t>Manish Surin:</w:t>
      </w:r>
      <w:r>
        <w:rPr>
          <w:rFonts w:ascii="Times New Roman" w:eastAsia="Times New Roman" w:hAnsi="Times New Roman" w:cs="Times New Roman"/>
        </w:rPr>
        <w:t xml:space="preserve"> </w:t>
      </w:r>
      <w:r>
        <w:rPr>
          <w:rFonts w:ascii="Times New Roman" w:eastAsia="Times New Roman" w:hAnsi="Times New Roman" w:cs="Times New Roman"/>
          <w:i/>
        </w:rPr>
        <w:t>“From ‘Larka’ to ‘Separatist’: Colonial Legacies and the Ho Adivasi-State Relationship in Jharkhand.”</w:t>
      </w:r>
    </w:p>
    <w:p w14:paraId="625F06DD" w14:textId="77777777" w:rsidR="003934E1" w:rsidRDefault="003934E1">
      <w:pPr>
        <w:rPr>
          <w:rFonts w:ascii="Times New Roman" w:eastAsia="Times New Roman" w:hAnsi="Times New Roman" w:cs="Times New Roman"/>
        </w:rPr>
      </w:pPr>
    </w:p>
    <w:p w14:paraId="72973B7A" w14:textId="77777777" w:rsidR="003934E1"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Technical Session 3: 29th July 2025 Day 1</w:t>
      </w:r>
    </w:p>
    <w:p w14:paraId="2ED1A671" w14:textId="77777777" w:rsidR="003934E1" w:rsidRDefault="003934E1">
      <w:pPr>
        <w:rPr>
          <w:rFonts w:ascii="Times New Roman" w:eastAsia="Times New Roman" w:hAnsi="Times New Roman" w:cs="Times New Roman"/>
          <w:b/>
        </w:rPr>
      </w:pPr>
    </w:p>
    <w:p w14:paraId="3BEAFEEA" w14:textId="77777777" w:rsidR="003934E1" w:rsidRDefault="00000000">
      <w:pPr>
        <w:rPr>
          <w:rFonts w:ascii="Times New Roman" w:eastAsia="Times New Roman" w:hAnsi="Times New Roman" w:cs="Times New Roman"/>
          <w:i/>
          <w:color w:val="222222"/>
        </w:rPr>
      </w:pPr>
      <w:r>
        <w:rPr>
          <w:rFonts w:ascii="Times New Roman" w:eastAsia="Times New Roman" w:hAnsi="Times New Roman" w:cs="Times New Roman"/>
          <w:b/>
        </w:rPr>
        <w:t>Samarth Singhal:</w:t>
      </w:r>
      <w:r>
        <w:rPr>
          <w:rFonts w:ascii="Times New Roman" w:eastAsia="Times New Roman" w:hAnsi="Times New Roman" w:cs="Times New Roman"/>
        </w:rPr>
        <w:t xml:space="preserve"> </w:t>
      </w:r>
      <w:r>
        <w:rPr>
          <w:rFonts w:ascii="Times New Roman" w:eastAsia="Times New Roman" w:hAnsi="Times New Roman" w:cs="Times New Roman"/>
          <w:i/>
          <w:color w:val="222222"/>
        </w:rPr>
        <w:t xml:space="preserve">“Collaboration and/or Appropriation: Adivasi art in the Anglophone </w:t>
      </w:r>
      <w:proofErr w:type="spellStart"/>
      <w:r>
        <w:rPr>
          <w:rFonts w:ascii="Times New Roman" w:eastAsia="Times New Roman" w:hAnsi="Times New Roman" w:cs="Times New Roman"/>
          <w:i/>
          <w:color w:val="222222"/>
        </w:rPr>
        <w:t>Picturebook</w:t>
      </w:r>
      <w:proofErr w:type="spellEnd"/>
      <w:r>
        <w:rPr>
          <w:rFonts w:ascii="Times New Roman" w:eastAsia="Times New Roman" w:hAnsi="Times New Roman" w:cs="Times New Roman"/>
          <w:i/>
          <w:color w:val="222222"/>
        </w:rPr>
        <w:t>”</w:t>
      </w:r>
    </w:p>
    <w:p w14:paraId="414223E2" w14:textId="77777777" w:rsidR="003934E1" w:rsidRDefault="003934E1">
      <w:pPr>
        <w:rPr>
          <w:rFonts w:ascii="Times New Roman" w:eastAsia="Times New Roman" w:hAnsi="Times New Roman" w:cs="Times New Roman"/>
          <w:i/>
          <w:color w:val="222222"/>
        </w:rPr>
      </w:pPr>
    </w:p>
    <w:p w14:paraId="21677CE1" w14:textId="77777777" w:rsidR="003934E1" w:rsidRDefault="00000000">
      <w:pPr>
        <w:rPr>
          <w:rFonts w:ascii="Times New Roman" w:eastAsia="Times New Roman" w:hAnsi="Times New Roman" w:cs="Times New Roman"/>
          <w:i/>
        </w:rPr>
      </w:pPr>
      <w:r>
        <w:rPr>
          <w:rFonts w:ascii="Times New Roman" w:eastAsia="Times New Roman" w:hAnsi="Times New Roman" w:cs="Times New Roman"/>
          <w:b/>
        </w:rPr>
        <w:t>Aishwarya Bhattacharyya:</w:t>
      </w:r>
      <w:r>
        <w:rPr>
          <w:rFonts w:ascii="Times New Roman" w:eastAsia="Times New Roman" w:hAnsi="Times New Roman" w:cs="Times New Roman"/>
        </w:rPr>
        <w:t xml:space="preserve"> </w:t>
      </w:r>
      <w:r>
        <w:rPr>
          <w:rFonts w:ascii="Times New Roman" w:eastAsia="Times New Roman" w:hAnsi="Times New Roman" w:cs="Times New Roman"/>
          <w:i/>
          <w:color w:val="222222"/>
        </w:rPr>
        <w:t>“</w:t>
      </w:r>
      <w:r>
        <w:rPr>
          <w:rFonts w:ascii="Times New Roman" w:eastAsia="Times New Roman" w:hAnsi="Times New Roman" w:cs="Times New Roman"/>
          <w:i/>
        </w:rPr>
        <w:t>Indigeneity as Pedagogy: A Case for Reconciliation as Living Ethics”</w:t>
      </w:r>
    </w:p>
    <w:p w14:paraId="1A2E8D2C" w14:textId="77777777" w:rsidR="003934E1" w:rsidRDefault="003934E1">
      <w:pPr>
        <w:rPr>
          <w:rFonts w:ascii="Times New Roman" w:eastAsia="Times New Roman" w:hAnsi="Times New Roman" w:cs="Times New Roman"/>
          <w:i/>
        </w:rPr>
      </w:pPr>
    </w:p>
    <w:p w14:paraId="06EA84C3" w14:textId="77777777" w:rsidR="003934E1" w:rsidRDefault="00000000">
      <w:pPr>
        <w:rPr>
          <w:rFonts w:ascii="Times New Roman" w:eastAsia="Times New Roman" w:hAnsi="Times New Roman" w:cs="Times New Roman"/>
        </w:rPr>
      </w:pPr>
      <w:r>
        <w:rPr>
          <w:rFonts w:ascii="Times New Roman" w:eastAsia="Times New Roman" w:hAnsi="Times New Roman" w:cs="Times New Roman"/>
          <w:b/>
        </w:rPr>
        <w:t xml:space="preserve">Muhammad Sinan and </w:t>
      </w:r>
      <w:proofErr w:type="spellStart"/>
      <w:r>
        <w:rPr>
          <w:rFonts w:ascii="Times New Roman" w:eastAsia="Times New Roman" w:hAnsi="Times New Roman" w:cs="Times New Roman"/>
          <w:b/>
        </w:rPr>
        <w:t>Abusalan</w:t>
      </w:r>
      <w:proofErr w:type="spellEnd"/>
      <w:r>
        <w:rPr>
          <w:rFonts w:ascii="Times New Roman" w:eastAsia="Times New Roman" w:hAnsi="Times New Roman" w:cs="Times New Roman"/>
          <w:b/>
        </w:rPr>
        <w:t xml:space="preserve"> T S:</w:t>
      </w:r>
      <w:r>
        <w:rPr>
          <w:rFonts w:ascii="Times New Roman" w:eastAsia="Times New Roman" w:hAnsi="Times New Roman" w:cs="Times New Roman"/>
        </w:rPr>
        <w:t xml:space="preserve"> </w:t>
      </w:r>
      <w:r>
        <w:rPr>
          <w:rFonts w:ascii="Times New Roman" w:eastAsia="Times New Roman" w:hAnsi="Times New Roman" w:cs="Times New Roman"/>
          <w:i/>
          <w:color w:val="222222"/>
        </w:rPr>
        <w:t>“</w:t>
      </w:r>
      <w:proofErr w:type="spellStart"/>
      <w:r>
        <w:rPr>
          <w:rFonts w:ascii="Times New Roman" w:eastAsia="Times New Roman" w:hAnsi="Times New Roman" w:cs="Times New Roman"/>
          <w:i/>
          <w:color w:val="222222"/>
        </w:rPr>
        <w:t>Nanjiyamma</w:t>
      </w:r>
      <w:proofErr w:type="spellEnd"/>
      <w:r>
        <w:rPr>
          <w:rFonts w:ascii="Times New Roman" w:eastAsia="Times New Roman" w:hAnsi="Times New Roman" w:cs="Times New Roman"/>
          <w:i/>
          <w:color w:val="222222"/>
        </w:rPr>
        <w:t xml:space="preserve"> and </w:t>
      </w:r>
      <w:proofErr w:type="spellStart"/>
      <w:r>
        <w:rPr>
          <w:rFonts w:ascii="Times New Roman" w:eastAsia="Times New Roman" w:hAnsi="Times New Roman" w:cs="Times New Roman"/>
          <w:i/>
          <w:color w:val="222222"/>
        </w:rPr>
        <w:t>Kalakkatha</w:t>
      </w:r>
      <w:proofErr w:type="spellEnd"/>
      <w:r>
        <w:rPr>
          <w:rFonts w:ascii="Times New Roman" w:eastAsia="Times New Roman" w:hAnsi="Times New Roman" w:cs="Times New Roman"/>
          <w:i/>
          <w:color w:val="222222"/>
        </w:rPr>
        <w:t xml:space="preserve"> Song: </w:t>
      </w:r>
      <w:proofErr w:type="spellStart"/>
      <w:r>
        <w:rPr>
          <w:rFonts w:ascii="Times New Roman" w:eastAsia="Times New Roman" w:hAnsi="Times New Roman" w:cs="Times New Roman"/>
          <w:i/>
          <w:color w:val="222222"/>
        </w:rPr>
        <w:t>Analyzing</w:t>
      </w:r>
      <w:proofErr w:type="spellEnd"/>
      <w:r>
        <w:rPr>
          <w:rFonts w:ascii="Times New Roman" w:eastAsia="Times New Roman" w:hAnsi="Times New Roman" w:cs="Times New Roman"/>
          <w:i/>
          <w:color w:val="222222"/>
        </w:rPr>
        <w:t xml:space="preserve"> the Tribal Folk Tradition and Dialects of the </w:t>
      </w:r>
      <w:proofErr w:type="spellStart"/>
      <w:r>
        <w:rPr>
          <w:rFonts w:ascii="Times New Roman" w:eastAsia="Times New Roman" w:hAnsi="Times New Roman" w:cs="Times New Roman"/>
          <w:i/>
          <w:color w:val="222222"/>
        </w:rPr>
        <w:t>Irula</w:t>
      </w:r>
      <w:proofErr w:type="spellEnd"/>
      <w:r>
        <w:rPr>
          <w:rFonts w:ascii="Times New Roman" w:eastAsia="Times New Roman" w:hAnsi="Times New Roman" w:cs="Times New Roman"/>
          <w:i/>
          <w:color w:val="222222"/>
        </w:rPr>
        <w:t xml:space="preserve"> Community”</w:t>
      </w:r>
    </w:p>
    <w:p w14:paraId="6DF3F405" w14:textId="77777777" w:rsidR="003934E1" w:rsidRDefault="003934E1">
      <w:pPr>
        <w:spacing w:line="276" w:lineRule="auto"/>
        <w:rPr>
          <w:rFonts w:ascii="Times New Roman" w:eastAsia="Times New Roman" w:hAnsi="Times New Roman" w:cs="Times New Roman"/>
          <w:b/>
        </w:rPr>
      </w:pPr>
    </w:p>
    <w:p w14:paraId="42E55316" w14:textId="77777777" w:rsidR="003934E1"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Technical Session 4: 30th July 2025 Day 2</w:t>
      </w:r>
    </w:p>
    <w:p w14:paraId="72B142CA" w14:textId="77777777" w:rsidR="003934E1" w:rsidRDefault="003934E1">
      <w:pPr>
        <w:rPr>
          <w:rFonts w:ascii="Times New Roman" w:eastAsia="Times New Roman" w:hAnsi="Times New Roman" w:cs="Times New Roman"/>
          <w:b/>
        </w:rPr>
      </w:pPr>
    </w:p>
    <w:p w14:paraId="155C2A62" w14:textId="77777777" w:rsidR="003934E1" w:rsidRDefault="00000000">
      <w:pPr>
        <w:rPr>
          <w:rFonts w:ascii="Times New Roman" w:eastAsia="Times New Roman" w:hAnsi="Times New Roman" w:cs="Times New Roman"/>
          <w:i/>
        </w:rPr>
      </w:pPr>
      <w:r>
        <w:rPr>
          <w:rFonts w:ascii="Times New Roman" w:eastAsia="Times New Roman" w:hAnsi="Times New Roman" w:cs="Times New Roman"/>
          <w:b/>
        </w:rPr>
        <w:t>Aditi Tirkey:</w:t>
      </w:r>
      <w:r>
        <w:rPr>
          <w:rFonts w:ascii="Times New Roman" w:eastAsia="Times New Roman" w:hAnsi="Times New Roman" w:cs="Times New Roman"/>
        </w:rPr>
        <w:t xml:space="preserve"> </w:t>
      </w:r>
      <w:r>
        <w:rPr>
          <w:rFonts w:ascii="Times New Roman" w:eastAsia="Times New Roman" w:hAnsi="Times New Roman" w:cs="Times New Roman"/>
          <w:i/>
        </w:rPr>
        <w:t>“Language and Resistance: The Role of Mundari in Birsa Munda’s Movement.”</w:t>
      </w:r>
    </w:p>
    <w:p w14:paraId="0BD2B3C4" w14:textId="77777777" w:rsidR="003934E1" w:rsidRDefault="003934E1">
      <w:pPr>
        <w:rPr>
          <w:rFonts w:ascii="Times New Roman" w:eastAsia="Times New Roman" w:hAnsi="Times New Roman" w:cs="Times New Roman"/>
        </w:rPr>
      </w:pPr>
    </w:p>
    <w:p w14:paraId="2D472897" w14:textId="77777777" w:rsidR="003934E1" w:rsidRDefault="00000000">
      <w:pPr>
        <w:rPr>
          <w:rFonts w:ascii="Times New Roman" w:eastAsia="Times New Roman" w:hAnsi="Times New Roman" w:cs="Times New Roman"/>
        </w:rPr>
      </w:pPr>
      <w:r>
        <w:rPr>
          <w:rFonts w:ascii="Times New Roman" w:eastAsia="Times New Roman" w:hAnsi="Times New Roman" w:cs="Times New Roman"/>
          <w:b/>
        </w:rPr>
        <w:t xml:space="preserve">Valentine </w:t>
      </w:r>
      <w:proofErr w:type="spellStart"/>
      <w:r>
        <w:rPr>
          <w:rFonts w:ascii="Times New Roman" w:eastAsia="Times New Roman" w:hAnsi="Times New Roman" w:cs="Times New Roman"/>
          <w:b/>
        </w:rPr>
        <w:t>Sinduria</w:t>
      </w:r>
      <w:proofErr w:type="spellEnd"/>
      <w:r>
        <w:rPr>
          <w:rFonts w:ascii="Times New Roman" w:eastAsia="Times New Roman" w:hAnsi="Times New Roman" w:cs="Times New Roman"/>
          <w:b/>
        </w:rPr>
        <w:t xml:space="preserve">: </w:t>
      </w:r>
      <w:r>
        <w:rPr>
          <w:rFonts w:ascii="Times New Roman" w:eastAsia="Times New Roman" w:hAnsi="Times New Roman" w:cs="Times New Roman"/>
          <w:i/>
        </w:rPr>
        <w:t xml:space="preserve">“A Critical Analysis of Birsa Munda’s Dream of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Disum –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Raij.”</w:t>
      </w:r>
      <w:r>
        <w:rPr>
          <w:rFonts w:ascii="Times New Roman" w:eastAsia="Times New Roman" w:hAnsi="Times New Roman" w:cs="Times New Roman"/>
        </w:rPr>
        <w:t xml:space="preserve"> </w:t>
      </w:r>
    </w:p>
    <w:p w14:paraId="1DED0026" w14:textId="77777777" w:rsidR="003934E1" w:rsidRDefault="003934E1">
      <w:pPr>
        <w:rPr>
          <w:rFonts w:ascii="Times New Roman" w:eastAsia="Times New Roman" w:hAnsi="Times New Roman" w:cs="Times New Roman"/>
        </w:rPr>
      </w:pPr>
    </w:p>
    <w:p w14:paraId="282B7CBC" w14:textId="77777777" w:rsidR="003934E1" w:rsidRDefault="00000000">
      <w:pPr>
        <w:rPr>
          <w:rFonts w:ascii="Times New Roman" w:eastAsia="Times New Roman" w:hAnsi="Times New Roman" w:cs="Times New Roman"/>
        </w:rPr>
      </w:pPr>
      <w:r>
        <w:rPr>
          <w:rFonts w:ascii="Times New Roman" w:eastAsia="Times New Roman" w:hAnsi="Times New Roman" w:cs="Times New Roman"/>
          <w:b/>
        </w:rPr>
        <w:t xml:space="preserve">Swati </w:t>
      </w:r>
      <w:proofErr w:type="spellStart"/>
      <w:r>
        <w:rPr>
          <w:rFonts w:ascii="Times New Roman" w:eastAsia="Times New Roman" w:hAnsi="Times New Roman" w:cs="Times New Roman"/>
          <w:b/>
        </w:rPr>
        <w:t>Bijawat</w:t>
      </w:r>
      <w:proofErr w:type="spellEnd"/>
      <w:r>
        <w:rPr>
          <w:rFonts w:ascii="Times New Roman" w:eastAsia="Times New Roman" w:hAnsi="Times New Roman" w:cs="Times New Roman"/>
          <w:b/>
        </w:rPr>
        <w:t xml:space="preserve"> and Preeti </w:t>
      </w:r>
      <w:proofErr w:type="spellStart"/>
      <w:r>
        <w:rPr>
          <w:rFonts w:ascii="Times New Roman" w:eastAsia="Times New Roman" w:hAnsi="Times New Roman" w:cs="Times New Roman"/>
          <w:b/>
        </w:rPr>
        <w:t>Hariyani</w:t>
      </w:r>
      <w:proofErr w:type="spellEnd"/>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i/>
        </w:rPr>
        <w:t>“Life, Legacy, and Heritage of Birsa Munda: A Symbol of Tribal Pride, Resistance, and Spiritual Leadership.”</w:t>
      </w:r>
      <w:r>
        <w:rPr>
          <w:rFonts w:ascii="Times New Roman" w:eastAsia="Times New Roman" w:hAnsi="Times New Roman" w:cs="Times New Roman"/>
        </w:rPr>
        <w:t xml:space="preserve"> </w:t>
      </w:r>
    </w:p>
    <w:p w14:paraId="275D045A" w14:textId="77777777" w:rsidR="003934E1" w:rsidRDefault="003934E1">
      <w:pPr>
        <w:rPr>
          <w:rFonts w:ascii="Times New Roman" w:eastAsia="Times New Roman" w:hAnsi="Times New Roman" w:cs="Times New Roman"/>
        </w:rPr>
      </w:pPr>
    </w:p>
    <w:p w14:paraId="367CB22F" w14:textId="77777777" w:rsidR="003934E1"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Technical Session 5: 30th July 2025 Day 2</w:t>
      </w:r>
    </w:p>
    <w:p w14:paraId="68CC8578" w14:textId="77777777" w:rsidR="003934E1" w:rsidRDefault="003934E1">
      <w:pPr>
        <w:rPr>
          <w:rFonts w:ascii="Times New Roman" w:eastAsia="Times New Roman" w:hAnsi="Times New Roman" w:cs="Times New Roman"/>
          <w:b/>
        </w:rPr>
      </w:pPr>
    </w:p>
    <w:p w14:paraId="092948FA" w14:textId="77777777" w:rsidR="003934E1" w:rsidRDefault="00000000">
      <w:pPr>
        <w:rPr>
          <w:rFonts w:ascii="Times New Roman" w:eastAsia="Times New Roman" w:hAnsi="Times New Roman" w:cs="Times New Roman"/>
          <w:i/>
        </w:rPr>
      </w:pPr>
      <w:r>
        <w:rPr>
          <w:rFonts w:ascii="Times New Roman" w:eastAsia="Times New Roman" w:hAnsi="Times New Roman" w:cs="Times New Roman"/>
          <w:b/>
        </w:rPr>
        <w:t xml:space="preserve">Sahib Singh Tulsi: </w:t>
      </w:r>
      <w:r>
        <w:rPr>
          <w:rFonts w:ascii="Times New Roman" w:eastAsia="Times New Roman" w:hAnsi="Times New Roman" w:cs="Times New Roman"/>
          <w:i/>
        </w:rPr>
        <w:t>“Through Aspirational Horizons: Complexities of Adivasi Youth Mobilization and Social Movement in Bastar”</w:t>
      </w:r>
    </w:p>
    <w:p w14:paraId="0FE16661" w14:textId="77777777" w:rsidR="003934E1" w:rsidRDefault="003934E1">
      <w:pPr>
        <w:rPr>
          <w:rFonts w:ascii="Times New Roman" w:eastAsia="Times New Roman" w:hAnsi="Times New Roman" w:cs="Times New Roman"/>
          <w:i/>
        </w:rPr>
      </w:pPr>
    </w:p>
    <w:p w14:paraId="55215C9F" w14:textId="77777777" w:rsidR="003934E1" w:rsidRDefault="00000000">
      <w:pPr>
        <w:rPr>
          <w:rFonts w:ascii="Times New Roman" w:eastAsia="Times New Roman" w:hAnsi="Times New Roman" w:cs="Times New Roman"/>
          <w:i/>
        </w:rPr>
      </w:pPr>
      <w:r>
        <w:rPr>
          <w:rFonts w:ascii="Times New Roman" w:eastAsia="Times New Roman" w:hAnsi="Times New Roman" w:cs="Times New Roman"/>
          <w:b/>
        </w:rPr>
        <w:t xml:space="preserve">Himanshu Shukla: </w:t>
      </w:r>
      <w:r>
        <w:rPr>
          <w:rFonts w:ascii="Times New Roman" w:eastAsia="Times New Roman" w:hAnsi="Times New Roman" w:cs="Times New Roman"/>
          <w:i/>
        </w:rPr>
        <w:t>“Tribal Memorialisation and Hindu Nationalism: RSS’s Appropriative Iconography of Birsa Munda”</w:t>
      </w:r>
    </w:p>
    <w:p w14:paraId="7BEB213D" w14:textId="77777777" w:rsidR="003934E1" w:rsidRDefault="003934E1">
      <w:pPr>
        <w:rPr>
          <w:rFonts w:ascii="Times New Roman" w:eastAsia="Times New Roman" w:hAnsi="Times New Roman" w:cs="Times New Roman"/>
          <w:i/>
        </w:rPr>
      </w:pPr>
    </w:p>
    <w:p w14:paraId="06672D6E" w14:textId="77777777" w:rsidR="003934E1" w:rsidRDefault="00000000">
      <w:pPr>
        <w:rPr>
          <w:rFonts w:ascii="Times New Roman" w:eastAsia="Times New Roman" w:hAnsi="Times New Roman" w:cs="Times New Roman"/>
          <w:i/>
          <w:color w:val="222222"/>
          <w:highlight w:val="white"/>
        </w:rPr>
      </w:pPr>
      <w:r>
        <w:rPr>
          <w:rFonts w:ascii="Times New Roman" w:eastAsia="Times New Roman" w:hAnsi="Times New Roman" w:cs="Times New Roman"/>
          <w:b/>
        </w:rPr>
        <w:t>Hephzibah B. John:</w:t>
      </w:r>
      <w:r>
        <w:rPr>
          <w:rFonts w:ascii="Times New Roman" w:eastAsia="Times New Roman" w:hAnsi="Times New Roman" w:cs="Times New Roman"/>
        </w:rPr>
        <w:t xml:space="preserve"> </w:t>
      </w:r>
      <w:r>
        <w:rPr>
          <w:rFonts w:ascii="Times New Roman" w:eastAsia="Times New Roman" w:hAnsi="Times New Roman" w:cs="Times New Roman"/>
          <w:i/>
          <w:color w:val="222222"/>
          <w:highlight w:val="white"/>
        </w:rPr>
        <w:t xml:space="preserve">"The Journey of </w:t>
      </w:r>
      <w:proofErr w:type="spellStart"/>
      <w:r>
        <w:rPr>
          <w:rFonts w:ascii="Times New Roman" w:eastAsia="Times New Roman" w:hAnsi="Times New Roman" w:cs="Times New Roman"/>
          <w:i/>
          <w:color w:val="222222"/>
          <w:highlight w:val="white"/>
        </w:rPr>
        <w:t>Sahariya</w:t>
      </w:r>
      <w:proofErr w:type="spellEnd"/>
      <w:r>
        <w:rPr>
          <w:rFonts w:ascii="Times New Roman" w:eastAsia="Times New Roman" w:hAnsi="Times New Roman" w:cs="Times New Roman"/>
          <w:i/>
          <w:color w:val="222222"/>
          <w:highlight w:val="white"/>
        </w:rPr>
        <w:t xml:space="preserve"> Tribes: Socio-Economic Conditions, Policy Effectiveness, and Cultural Resilience"</w:t>
      </w:r>
    </w:p>
    <w:p w14:paraId="3F4689A3" w14:textId="77777777" w:rsidR="003934E1" w:rsidRDefault="003934E1">
      <w:pPr>
        <w:rPr>
          <w:rFonts w:ascii="Times New Roman" w:eastAsia="Times New Roman" w:hAnsi="Times New Roman" w:cs="Times New Roman"/>
        </w:rPr>
      </w:pPr>
    </w:p>
    <w:p w14:paraId="101B004B" w14:textId="77777777" w:rsidR="003934E1" w:rsidRDefault="00000000">
      <w:pPr>
        <w:rPr>
          <w:rFonts w:ascii="Times New Roman" w:eastAsia="Times New Roman" w:hAnsi="Times New Roman" w:cs="Times New Roman"/>
        </w:rPr>
      </w:pPr>
      <w:r>
        <w:rPr>
          <w:rFonts w:ascii="Times New Roman" w:eastAsia="Times New Roman" w:hAnsi="Times New Roman" w:cs="Times New Roman"/>
          <w:b/>
        </w:rPr>
        <w:t>Sanghamitra R. Verman:</w:t>
      </w:r>
      <w:r>
        <w:rPr>
          <w:rFonts w:ascii="Times New Roman" w:eastAsia="Times New Roman" w:hAnsi="Times New Roman" w:cs="Times New Roman"/>
        </w:rPr>
        <w:t xml:space="preserve"> </w:t>
      </w:r>
      <w:r>
        <w:rPr>
          <w:rFonts w:ascii="Times New Roman" w:eastAsia="Times New Roman" w:hAnsi="Times New Roman" w:cs="Times New Roman"/>
          <w:i/>
        </w:rPr>
        <w:t>“</w:t>
      </w:r>
      <w:r>
        <w:rPr>
          <w:rFonts w:ascii="Arial" w:eastAsia="Arial" w:hAnsi="Arial" w:cs="Arial"/>
          <w:i/>
          <w:color w:val="222222"/>
          <w:sz w:val="22"/>
          <w:szCs w:val="22"/>
          <w:highlight w:val="white"/>
        </w:rPr>
        <w:t>Indigenous women weaver of Northeast India: Custodian of Tradition and Culture”</w:t>
      </w:r>
      <w:r>
        <w:rPr>
          <w:rFonts w:ascii="Times New Roman" w:eastAsia="Times New Roman" w:hAnsi="Times New Roman" w:cs="Times New Roman"/>
        </w:rPr>
        <w:t xml:space="preserve"> </w:t>
      </w:r>
    </w:p>
    <w:p w14:paraId="76E6FB0F" w14:textId="77777777" w:rsidR="003934E1" w:rsidRDefault="003934E1">
      <w:pPr>
        <w:rPr>
          <w:rFonts w:ascii="Times New Roman" w:eastAsia="Times New Roman" w:hAnsi="Times New Roman" w:cs="Times New Roman"/>
        </w:rPr>
      </w:pPr>
    </w:p>
    <w:p w14:paraId="163A6909" w14:textId="77777777" w:rsidR="003934E1" w:rsidRDefault="003934E1">
      <w:pPr>
        <w:rPr>
          <w:rFonts w:ascii="Times New Roman" w:eastAsia="Times New Roman" w:hAnsi="Times New Roman" w:cs="Times New Roman"/>
        </w:rPr>
      </w:pPr>
    </w:p>
    <w:p w14:paraId="59DC380A" w14:textId="77777777" w:rsidR="003934E1" w:rsidRDefault="00000000">
      <w:pPr>
        <w:rPr>
          <w:rFonts w:ascii="Times New Roman" w:eastAsia="Times New Roman" w:hAnsi="Times New Roman" w:cs="Times New Roman"/>
          <w:b/>
          <w:u w:val="single"/>
        </w:rPr>
      </w:pPr>
      <w:r>
        <w:rPr>
          <w:rFonts w:ascii="Times New Roman" w:eastAsia="Times New Roman" w:hAnsi="Times New Roman" w:cs="Times New Roman"/>
          <w:b/>
          <w:u w:val="single"/>
        </w:rPr>
        <w:t>Technical Session 6: 30th July 2025 Day 2</w:t>
      </w:r>
    </w:p>
    <w:p w14:paraId="705EB331" w14:textId="77777777" w:rsidR="003934E1" w:rsidRDefault="003934E1">
      <w:pPr>
        <w:rPr>
          <w:rFonts w:ascii="Times New Roman" w:eastAsia="Times New Roman" w:hAnsi="Times New Roman" w:cs="Times New Roman"/>
          <w:b/>
        </w:rPr>
      </w:pPr>
    </w:p>
    <w:p w14:paraId="7C0D5DA7" w14:textId="77777777" w:rsidR="003934E1" w:rsidRDefault="00000000">
      <w:pPr>
        <w:rPr>
          <w:rFonts w:ascii="Times New Roman" w:eastAsia="Times New Roman" w:hAnsi="Times New Roman" w:cs="Times New Roman"/>
          <w:i/>
          <w:color w:val="222222"/>
          <w:highlight w:val="white"/>
        </w:rPr>
      </w:pPr>
      <w:r>
        <w:rPr>
          <w:rFonts w:ascii="Times New Roman" w:eastAsia="Times New Roman" w:hAnsi="Times New Roman" w:cs="Times New Roman"/>
          <w:b/>
        </w:rPr>
        <w:t>Anubhuti Agnes Bara:</w:t>
      </w:r>
      <w:r>
        <w:rPr>
          <w:rFonts w:ascii="Times New Roman" w:eastAsia="Times New Roman" w:hAnsi="Times New Roman" w:cs="Times New Roman"/>
        </w:rPr>
        <w:t xml:space="preserve"> </w:t>
      </w:r>
      <w:r>
        <w:rPr>
          <w:rFonts w:ascii="Times New Roman" w:eastAsia="Times New Roman" w:hAnsi="Times New Roman" w:cs="Times New Roman"/>
          <w:i/>
          <w:color w:val="222222"/>
          <w:sz w:val="22"/>
          <w:szCs w:val="22"/>
          <w:highlight w:val="white"/>
        </w:rPr>
        <w:t>“</w:t>
      </w:r>
      <w:r>
        <w:rPr>
          <w:rFonts w:ascii="Times New Roman" w:eastAsia="Times New Roman" w:hAnsi="Times New Roman" w:cs="Times New Roman"/>
          <w:i/>
          <w:color w:val="222222"/>
          <w:highlight w:val="white"/>
        </w:rPr>
        <w:t>Epistemologies of rebellion: Revisiting colonial archives, racialised myths and Adivasi Insurgencies, 1850-1908”</w:t>
      </w:r>
    </w:p>
    <w:p w14:paraId="27CEBD71" w14:textId="77777777" w:rsidR="003934E1" w:rsidRDefault="003934E1">
      <w:pPr>
        <w:rPr>
          <w:rFonts w:ascii="Times New Roman" w:eastAsia="Times New Roman" w:hAnsi="Times New Roman" w:cs="Times New Roman"/>
        </w:rPr>
      </w:pPr>
    </w:p>
    <w:p w14:paraId="41464F93" w14:textId="77777777" w:rsidR="003934E1" w:rsidRDefault="00000000">
      <w:pPr>
        <w:rPr>
          <w:rFonts w:ascii="Times New Roman" w:eastAsia="Times New Roman" w:hAnsi="Times New Roman" w:cs="Times New Roman"/>
          <w:i/>
          <w:color w:val="222222"/>
          <w:highlight w:val="white"/>
        </w:rPr>
      </w:pPr>
      <w:r>
        <w:rPr>
          <w:rFonts w:ascii="Times New Roman" w:eastAsia="Times New Roman" w:hAnsi="Times New Roman" w:cs="Times New Roman"/>
          <w:b/>
        </w:rPr>
        <w:t xml:space="preserve">Gopal Kumar and Sanskriti Singh: </w:t>
      </w:r>
      <w:r>
        <w:rPr>
          <w:rFonts w:ascii="Times New Roman" w:eastAsia="Times New Roman" w:hAnsi="Times New Roman" w:cs="Times New Roman"/>
          <w:i/>
          <w:color w:val="222222"/>
          <w:highlight w:val="white"/>
        </w:rPr>
        <w:t>“Weaving the Nation: The Tribal Thread in India’s Past”</w:t>
      </w:r>
    </w:p>
    <w:p w14:paraId="416784BB" w14:textId="77777777" w:rsidR="003934E1" w:rsidRDefault="003934E1">
      <w:pPr>
        <w:rPr>
          <w:rFonts w:ascii="Times New Roman" w:eastAsia="Times New Roman" w:hAnsi="Times New Roman" w:cs="Times New Roman"/>
        </w:rPr>
      </w:pPr>
    </w:p>
    <w:p w14:paraId="3B5BDAF7" w14:textId="77777777" w:rsidR="003934E1" w:rsidRDefault="00000000">
      <w:pPr>
        <w:rPr>
          <w:rFonts w:ascii="Times New Roman" w:eastAsia="Times New Roman" w:hAnsi="Times New Roman" w:cs="Times New Roman"/>
          <w:i/>
          <w:color w:val="222222"/>
          <w:highlight w:val="white"/>
        </w:rPr>
      </w:pPr>
      <w:r>
        <w:rPr>
          <w:rFonts w:ascii="Times New Roman" w:eastAsia="Times New Roman" w:hAnsi="Times New Roman" w:cs="Times New Roman"/>
          <w:b/>
        </w:rPr>
        <w:t xml:space="preserve">Asmita </w:t>
      </w:r>
      <w:proofErr w:type="spellStart"/>
      <w:r>
        <w:rPr>
          <w:rFonts w:ascii="Times New Roman" w:eastAsia="Times New Roman" w:hAnsi="Times New Roman" w:cs="Times New Roman"/>
          <w:b/>
        </w:rPr>
        <w:t>Khalkho</w:t>
      </w:r>
      <w:proofErr w:type="spellEnd"/>
      <w:r>
        <w:rPr>
          <w:rFonts w:ascii="Times New Roman" w:eastAsia="Times New Roman" w:hAnsi="Times New Roman" w:cs="Times New Roman"/>
          <w:b/>
        </w:rPr>
        <w:t>:</w:t>
      </w:r>
      <w:r>
        <w:rPr>
          <w:rFonts w:ascii="Times New Roman" w:eastAsia="Times New Roman" w:hAnsi="Times New Roman" w:cs="Times New Roman"/>
        </w:rPr>
        <w:t xml:space="preserve"> </w:t>
      </w:r>
      <w:r>
        <w:rPr>
          <w:rFonts w:ascii="Times New Roman" w:eastAsia="Times New Roman" w:hAnsi="Times New Roman" w:cs="Times New Roman"/>
          <w:i/>
        </w:rPr>
        <w:t>“Tribal Resistance in the 18th century in Jungle Mahal”</w:t>
      </w:r>
    </w:p>
    <w:p w14:paraId="4DEC1830" w14:textId="77777777" w:rsidR="003934E1" w:rsidRDefault="003934E1">
      <w:pPr>
        <w:rPr>
          <w:rFonts w:ascii="Times New Roman" w:eastAsia="Times New Roman" w:hAnsi="Times New Roman" w:cs="Times New Roman"/>
        </w:rPr>
      </w:pPr>
    </w:p>
    <w:p w14:paraId="7568B6D6" w14:textId="77777777" w:rsidR="003934E1" w:rsidRDefault="003934E1">
      <w:pPr>
        <w:spacing w:line="276" w:lineRule="auto"/>
        <w:rPr>
          <w:rFonts w:ascii="Times New Roman" w:eastAsia="Times New Roman" w:hAnsi="Times New Roman" w:cs="Times New Roman"/>
          <w:b/>
        </w:rPr>
      </w:pPr>
    </w:p>
    <w:p w14:paraId="4D3B21EF" w14:textId="77777777" w:rsidR="003934E1" w:rsidRDefault="003934E1">
      <w:pPr>
        <w:spacing w:line="276" w:lineRule="auto"/>
        <w:jc w:val="center"/>
        <w:rPr>
          <w:rFonts w:ascii="Times New Roman" w:eastAsia="Times New Roman" w:hAnsi="Times New Roman" w:cs="Times New Roman"/>
          <w:b/>
        </w:rPr>
      </w:pPr>
    </w:p>
    <w:p w14:paraId="7091A0C4" w14:textId="77777777" w:rsidR="003934E1" w:rsidRDefault="003934E1">
      <w:pPr>
        <w:spacing w:line="276" w:lineRule="auto"/>
        <w:jc w:val="center"/>
        <w:rPr>
          <w:rFonts w:ascii="Times New Roman" w:eastAsia="Times New Roman" w:hAnsi="Times New Roman" w:cs="Times New Roman"/>
          <w:b/>
        </w:rPr>
      </w:pPr>
    </w:p>
    <w:p w14:paraId="7A263089" w14:textId="77777777" w:rsidR="003934E1" w:rsidRDefault="003934E1" w:rsidP="00A06BAD">
      <w:pPr>
        <w:spacing w:line="276" w:lineRule="auto"/>
        <w:rPr>
          <w:rFonts w:ascii="Times New Roman" w:eastAsia="Times New Roman" w:hAnsi="Times New Roman" w:cs="Times New Roman"/>
          <w:b/>
        </w:rPr>
      </w:pPr>
    </w:p>
    <w:p w14:paraId="6C8EF7A7" w14:textId="77777777" w:rsidR="00EB61EF" w:rsidRDefault="00EB61EF" w:rsidP="00A06BAD">
      <w:pPr>
        <w:spacing w:line="276" w:lineRule="auto"/>
        <w:rPr>
          <w:rFonts w:ascii="Times New Roman" w:eastAsia="Times New Roman" w:hAnsi="Times New Roman" w:cs="Times New Roman"/>
          <w:b/>
        </w:rPr>
      </w:pPr>
    </w:p>
    <w:p w14:paraId="2D1609DA" w14:textId="77777777" w:rsidR="00EB61EF" w:rsidRDefault="00EB61EF" w:rsidP="00A06BAD">
      <w:pPr>
        <w:spacing w:line="276" w:lineRule="auto"/>
        <w:rPr>
          <w:rFonts w:ascii="Times New Roman" w:eastAsia="Times New Roman" w:hAnsi="Times New Roman" w:cs="Times New Roman"/>
          <w:b/>
        </w:rPr>
      </w:pPr>
    </w:p>
    <w:p w14:paraId="1AEC139D" w14:textId="77777777" w:rsidR="00EB61EF" w:rsidRDefault="00EB61EF" w:rsidP="00A06BAD">
      <w:pPr>
        <w:spacing w:line="276" w:lineRule="auto"/>
        <w:rPr>
          <w:rFonts w:ascii="Times New Roman" w:eastAsia="Times New Roman" w:hAnsi="Times New Roman" w:cs="Times New Roman"/>
          <w:b/>
        </w:rPr>
      </w:pPr>
    </w:p>
    <w:p w14:paraId="72E58925" w14:textId="77777777" w:rsidR="00EB61EF" w:rsidRDefault="00EB61EF" w:rsidP="00A06BAD">
      <w:pPr>
        <w:spacing w:line="276" w:lineRule="auto"/>
        <w:rPr>
          <w:rFonts w:ascii="Times New Roman" w:eastAsia="Times New Roman" w:hAnsi="Times New Roman" w:cs="Times New Roman"/>
          <w:b/>
        </w:rPr>
      </w:pPr>
    </w:p>
    <w:p w14:paraId="5A2379A3" w14:textId="77777777" w:rsidR="003934E1" w:rsidRDefault="003934E1" w:rsidP="00A06BAD">
      <w:pPr>
        <w:spacing w:line="276" w:lineRule="auto"/>
        <w:rPr>
          <w:rFonts w:ascii="Times New Roman" w:eastAsia="Times New Roman" w:hAnsi="Times New Roman" w:cs="Times New Roman"/>
          <w:b/>
        </w:rPr>
      </w:pPr>
    </w:p>
    <w:p w14:paraId="1DFE3F6E" w14:textId="77777777" w:rsidR="003934E1" w:rsidRPr="00EB61EF" w:rsidRDefault="00000000">
      <w:pPr>
        <w:spacing w:line="276" w:lineRule="auto"/>
        <w:jc w:val="center"/>
        <w:rPr>
          <w:rFonts w:ascii="Times New Roman" w:eastAsia="Times New Roman" w:hAnsi="Times New Roman" w:cs="Times New Roman"/>
          <w:b/>
          <w:sz w:val="28"/>
          <w:szCs w:val="28"/>
          <w:u w:val="single"/>
        </w:rPr>
      </w:pPr>
      <w:r w:rsidRPr="00EB61EF">
        <w:rPr>
          <w:rFonts w:ascii="Times New Roman" w:eastAsia="Times New Roman" w:hAnsi="Times New Roman" w:cs="Times New Roman"/>
          <w:b/>
          <w:sz w:val="28"/>
          <w:szCs w:val="28"/>
          <w:u w:val="single"/>
        </w:rPr>
        <w:lastRenderedPageBreak/>
        <w:t>Report of the Seminar</w:t>
      </w:r>
    </w:p>
    <w:p w14:paraId="470370FF" w14:textId="77777777" w:rsidR="003934E1" w:rsidRDefault="003934E1">
      <w:pPr>
        <w:spacing w:line="276" w:lineRule="auto"/>
        <w:rPr>
          <w:rFonts w:ascii="Times New Roman" w:eastAsia="Times New Roman" w:hAnsi="Times New Roman" w:cs="Times New Roman"/>
          <w:b/>
        </w:rPr>
      </w:pPr>
    </w:p>
    <w:p w14:paraId="6A12D3BB" w14:textId="77777777" w:rsidR="003934E1" w:rsidRDefault="00000000">
      <w:pPr>
        <w:spacing w:line="276" w:lineRule="auto"/>
        <w:rPr>
          <w:rFonts w:ascii="Times New Roman" w:eastAsia="Times New Roman" w:hAnsi="Times New Roman" w:cs="Times New Roman"/>
        </w:rPr>
      </w:pPr>
      <w:r>
        <w:rPr>
          <w:rFonts w:ascii="Times New Roman" w:eastAsia="Times New Roman" w:hAnsi="Times New Roman" w:cs="Times New Roman"/>
          <w:b/>
        </w:rPr>
        <w:t>Day 1: 29th July 2025</w:t>
      </w:r>
    </w:p>
    <w:p w14:paraId="6F5198C1" w14:textId="77777777" w:rsidR="003934E1" w:rsidRDefault="003934E1">
      <w:pPr>
        <w:spacing w:line="276" w:lineRule="auto"/>
        <w:rPr>
          <w:rFonts w:ascii="Times New Roman" w:eastAsia="Times New Roman" w:hAnsi="Times New Roman" w:cs="Times New Roman"/>
          <w:b/>
        </w:rPr>
      </w:pPr>
    </w:p>
    <w:p w14:paraId="285E0C91" w14:textId="77777777" w:rsidR="003934E1"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Inaugural Session:</w:t>
      </w:r>
      <w:r>
        <w:rPr>
          <w:rFonts w:ascii="Times New Roman" w:eastAsia="Times New Roman" w:hAnsi="Times New Roman" w:cs="Times New Roman"/>
        </w:rPr>
        <w:br/>
      </w:r>
    </w:p>
    <w:p w14:paraId="3B14D218"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Dr. Richa Raj</w:t>
      </w:r>
      <w:r>
        <w:rPr>
          <w:rFonts w:ascii="Times New Roman" w:eastAsia="Times New Roman" w:hAnsi="Times New Roman" w:cs="Times New Roman"/>
        </w:rPr>
        <w:t xml:space="preserve"> formally opened the event with a warm welcome, introducing the seminar’s aim to foreground indigenous perspectives and to reframe tribal history through the lens of Birsa Munda’s legacy, moving away from dominant colonial narratives.</w:t>
      </w:r>
    </w:p>
    <w:p w14:paraId="28CCBE22" w14:textId="77777777" w:rsidR="003934E1" w:rsidRDefault="003934E1">
      <w:pPr>
        <w:spacing w:line="276" w:lineRule="auto"/>
        <w:jc w:val="both"/>
        <w:rPr>
          <w:rFonts w:ascii="Times New Roman" w:eastAsia="Times New Roman" w:hAnsi="Times New Roman" w:cs="Times New Roman"/>
        </w:rPr>
      </w:pPr>
    </w:p>
    <w:p w14:paraId="51A6E8E8"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Dr. Juhi Rose Vandana Minz</w:t>
      </w:r>
      <w:r>
        <w:rPr>
          <w:rFonts w:ascii="Times New Roman" w:eastAsia="Times New Roman" w:hAnsi="Times New Roman" w:cs="Times New Roman"/>
        </w:rPr>
        <w:t xml:space="preserve"> welcomed the Chief Guest, keynote speaker, expert panellists, faculty, and participants. She framed Birsa Munda’s life as a powerful narrative of resistance against both the colonial state and internal hegemonies that have historically silenced tribal voices. She called attention to how tribal history has long been told from the outsider’s lens and emphasized that Adivasi communities have rich worldviews, cultures, and modes of resistance. She drew connections between Munda’s legacy and contemporary issues such as land rights, language assertion, and the need for subaltern perspectives in governance.</w:t>
      </w:r>
    </w:p>
    <w:p w14:paraId="0B41DBDC" w14:textId="77777777" w:rsidR="003934E1" w:rsidRDefault="003934E1">
      <w:pPr>
        <w:spacing w:line="276" w:lineRule="auto"/>
        <w:jc w:val="both"/>
        <w:rPr>
          <w:rFonts w:ascii="Times New Roman" w:eastAsia="Times New Roman" w:hAnsi="Times New Roman" w:cs="Times New Roman"/>
        </w:rPr>
      </w:pPr>
    </w:p>
    <w:p w14:paraId="789C36A6"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Dr. Bipasha Rosy Lakra</w:t>
      </w:r>
      <w:r>
        <w:rPr>
          <w:rFonts w:ascii="Times New Roman" w:eastAsia="Times New Roman" w:hAnsi="Times New Roman" w:cs="Times New Roman"/>
        </w:rPr>
        <w:t xml:space="preserve"> expressed gratitude to the ICSSR for their generous support and to the Principal of Jesus and Mary College, DU, and the faculty for their encouragement. She recalled the contributions of former principal Sandra Joseph, quoting her statement: “This conference is an act of remembrance, a pursuit of justice.” She described Birsa Munda as not just a rebel but a visionary, and the event as an attempt to challenge dominant narratives and honour the power of indigenous resilience.</w:t>
      </w:r>
    </w:p>
    <w:p w14:paraId="1BE97332" w14:textId="77777777" w:rsidR="003934E1" w:rsidRDefault="003934E1">
      <w:pPr>
        <w:spacing w:line="276" w:lineRule="auto"/>
        <w:rPr>
          <w:rFonts w:ascii="Times New Roman" w:eastAsia="Times New Roman" w:hAnsi="Times New Roman" w:cs="Times New Roman"/>
        </w:rPr>
      </w:pPr>
    </w:p>
    <w:p w14:paraId="65F5066D" w14:textId="77777777" w:rsidR="003934E1" w:rsidRDefault="00000000">
      <w:pPr>
        <w:spacing w:line="276" w:lineRule="auto"/>
        <w:rPr>
          <w:rFonts w:ascii="Times New Roman" w:eastAsia="Times New Roman" w:hAnsi="Times New Roman" w:cs="Times New Roman"/>
          <w:b/>
          <w:i/>
        </w:rPr>
      </w:pPr>
      <w:r>
        <w:rPr>
          <w:rFonts w:ascii="Times New Roman" w:eastAsia="Times New Roman" w:hAnsi="Times New Roman" w:cs="Times New Roman"/>
          <w:b/>
          <w:i/>
        </w:rPr>
        <w:t>Lighting of the ceremonial lamp took place at 10:30 am.</w:t>
      </w:r>
    </w:p>
    <w:p w14:paraId="04046575" w14:textId="77777777" w:rsidR="003934E1" w:rsidRDefault="003934E1">
      <w:pPr>
        <w:spacing w:line="276" w:lineRule="auto"/>
        <w:rPr>
          <w:rFonts w:ascii="Times New Roman" w:eastAsia="Times New Roman" w:hAnsi="Times New Roman" w:cs="Times New Roman"/>
        </w:rPr>
      </w:pPr>
    </w:p>
    <w:p w14:paraId="37B4F586"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The Principal of Jesus and Mary College welcomed all participants and paid homage to Birsa Munda’s courage, resistance, and justice-oriented leadership. She remarked on the agrarian crisis and systemic grievances faced by tribal communities under British colonialism. She critiqued how tribal studies have historically been filtered through colonial and postcolonial frameworks that often dehumanize and stereotype Adivasis as needing ‘civilization’. She argued that these rationalizations have legitimized exploitation and displacement and persist in policy and academia. The conference, she asserted, aimed to build an interdisciplinary platform to critically examine these issues and promote the inclusion of tribal perspectives.</w:t>
      </w:r>
    </w:p>
    <w:p w14:paraId="343BDC1D" w14:textId="77777777" w:rsidR="003934E1" w:rsidRDefault="003934E1">
      <w:pPr>
        <w:spacing w:line="276" w:lineRule="auto"/>
        <w:rPr>
          <w:rFonts w:ascii="Times New Roman" w:eastAsia="Times New Roman" w:hAnsi="Times New Roman" w:cs="Times New Roman"/>
        </w:rPr>
      </w:pPr>
    </w:p>
    <w:p w14:paraId="7778147B" w14:textId="77777777" w:rsidR="003934E1"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Address by Chief Guest:</w:t>
      </w:r>
    </w:p>
    <w:p w14:paraId="54B6AB9E" w14:textId="77777777" w:rsidR="003934E1" w:rsidRDefault="003934E1">
      <w:pPr>
        <w:spacing w:line="276" w:lineRule="auto"/>
        <w:rPr>
          <w:rFonts w:ascii="Times New Roman" w:eastAsia="Times New Roman" w:hAnsi="Times New Roman" w:cs="Times New Roman"/>
          <w:b/>
        </w:rPr>
      </w:pPr>
    </w:p>
    <w:p w14:paraId="7EE2ACAE"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Prof. Sona Jharia Minz, the Chief Guest</w:t>
      </w:r>
      <w:r>
        <w:rPr>
          <w:rFonts w:ascii="Times New Roman" w:eastAsia="Times New Roman" w:hAnsi="Times New Roman" w:cs="Times New Roman"/>
        </w:rPr>
        <w:t xml:space="preserve">, began by thanking the principal and the organizing team and paid tribute to social justice icons like Savitribai Phule. She said the seminar was important not just because Birsa Munda is a known icon, but because it also asks whether tribal heroes like him can truly become symbols of decolonization. She reminded the audience that while Munda’s life was short, his legacy lives on through oral traditions, memory, and </w:t>
      </w:r>
      <w:r>
        <w:rPr>
          <w:rFonts w:ascii="Times New Roman" w:eastAsia="Times New Roman" w:hAnsi="Times New Roman" w:cs="Times New Roman"/>
        </w:rPr>
        <w:lastRenderedPageBreak/>
        <w:t>community resistance. His early education, she said, made him deeply conscious of his identity, which is what enabled him to do what he did, the way he did. In speaking of decolonization, she used the metaphor of a computer’s undo function. Undo, she said, is only possible if the previous file is saved. So, we must ask ourselves, when we say we want to decolonise, where do we go back to? What is our own? That process of going back is not just academic, it is about justice for Adivasi communities. She scrutinized our vocabulary, highlighting how geographical location dictates the framing of resistance. The core of her argument was that while uprisings by Adivasi communities in the East are dismissively termed rebellions, analogous acts in the West are positively celebrated as resistance. Colonization still prevails in both obvious and subtle forms. It is not just the land or forests or rivers that are colonised, but today it is also the mind. And yet we were late to even calling it colonization, blinded as we were by what she called a colonized consciousness. Oral traditions, she argued, have saved what little could be saved, but so much has already been lost. She went on to say that language is more than just a tool of communication, it is a cultural repository. It holds entire value systems and philosophies. She questioned the linear and compartmentalized ways in which modern disciplines look at tribal life, saying that, as someone from the life and computer sciences herself, she finds that fragmentation troubling. Knowledge, especially tribal knowledge, is not linear. It is layered, holistic, and lived. In closing, she warned against falling into the wrong framework by uncritically applying colonial and postcolonial models. Our frameworks must come from within. Otherwise, we risk replicating the very systems we seek to undo.</w:t>
      </w:r>
    </w:p>
    <w:p w14:paraId="590778B5" w14:textId="77777777" w:rsidR="003934E1" w:rsidRDefault="003934E1">
      <w:pPr>
        <w:spacing w:line="276" w:lineRule="auto"/>
        <w:rPr>
          <w:rFonts w:ascii="Times New Roman" w:eastAsia="Times New Roman" w:hAnsi="Times New Roman" w:cs="Times New Roman"/>
        </w:rPr>
      </w:pPr>
    </w:p>
    <w:p w14:paraId="0EAEAE5E" w14:textId="77777777" w:rsidR="003934E1"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Keynote Address by Prof. G.N. Devy:</w:t>
      </w:r>
      <w:r>
        <w:rPr>
          <w:rFonts w:ascii="Times New Roman" w:eastAsia="Times New Roman" w:hAnsi="Times New Roman" w:cs="Times New Roman"/>
        </w:rPr>
        <w:br/>
      </w:r>
    </w:p>
    <w:p w14:paraId="5E64143A"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Prof. Devy</w:t>
      </w:r>
      <w:r>
        <w:rPr>
          <w:rFonts w:ascii="Times New Roman" w:eastAsia="Times New Roman" w:hAnsi="Times New Roman" w:cs="Times New Roman"/>
        </w:rPr>
        <w:t xml:space="preserve"> opened with the traditional Adivasi greeting, “Johar!” He argued that colonization in India has had both external and internal manifestations. He noted that it is difficult to distinguish between the government’s patronage that grants tribal rights and its interventions that uproot them. He provided a historical account of how the colonial state, through census and treaties, systematized control over tribal territories. He discussed the 1891 census, which erased tribal linguistic identities by categorizing tribal languages under broader umbrellas like Hindi. He cited how the census registrar officially defined tribes as communities “whose people are shy and speak their own language.” He underscored that 560 languages are spoken by tribal communities and that the linguistic survey of India showed the richness of this diversity. With the looming census, he argued, it is important to revisit these erasures. He questioned if the Adivasi lifestyle, which is more in tune with the environment, can offer alternative models amid today’s Anthropocene and ecological crisis. Prof. Devy ended by asserting that one-third of the world’s indigenous people live in India, and that their ways of life must be central to contemporary sociopolitical discourse.</w:t>
      </w:r>
    </w:p>
    <w:p w14:paraId="4068EB3C" w14:textId="77777777" w:rsidR="003934E1" w:rsidRDefault="003934E1">
      <w:pPr>
        <w:spacing w:line="276" w:lineRule="auto"/>
        <w:rPr>
          <w:rFonts w:ascii="Times New Roman" w:eastAsia="Times New Roman" w:hAnsi="Times New Roman" w:cs="Times New Roman"/>
        </w:rPr>
      </w:pPr>
    </w:p>
    <w:p w14:paraId="1415216F" w14:textId="77777777" w:rsidR="003934E1" w:rsidRDefault="00000000">
      <w:pPr>
        <w:spacing w:line="276" w:lineRule="auto"/>
        <w:rPr>
          <w:rFonts w:ascii="Times New Roman" w:eastAsia="Times New Roman" w:hAnsi="Times New Roman" w:cs="Times New Roman"/>
          <w:b/>
          <w:i/>
        </w:rPr>
      </w:pPr>
      <w:r>
        <w:rPr>
          <w:rFonts w:ascii="Times New Roman" w:eastAsia="Times New Roman" w:hAnsi="Times New Roman" w:cs="Times New Roman"/>
          <w:b/>
        </w:rPr>
        <w:t>Expert Panel I:</w:t>
      </w:r>
      <w:r>
        <w:rPr>
          <w:rFonts w:ascii="Times New Roman" w:eastAsia="Times New Roman" w:hAnsi="Times New Roman" w:cs="Times New Roman"/>
        </w:rPr>
        <w:br/>
      </w:r>
    </w:p>
    <w:p w14:paraId="09B0617D" w14:textId="77777777" w:rsidR="003934E1" w:rsidRDefault="00000000">
      <w:pPr>
        <w:spacing w:line="276" w:lineRule="auto"/>
        <w:rPr>
          <w:rFonts w:ascii="Times New Roman" w:eastAsia="Times New Roman" w:hAnsi="Times New Roman" w:cs="Times New Roman"/>
          <w:b/>
          <w:i/>
        </w:rPr>
      </w:pPr>
      <w:r>
        <w:rPr>
          <w:rFonts w:ascii="Times New Roman" w:eastAsia="Times New Roman" w:hAnsi="Times New Roman" w:cs="Times New Roman"/>
          <w:b/>
          <w:i/>
        </w:rPr>
        <w:t>Moderator: Prof. Bipin Jojo</w:t>
      </w:r>
    </w:p>
    <w:p w14:paraId="4E98BACC" w14:textId="77777777" w:rsidR="003934E1" w:rsidRDefault="003934E1">
      <w:pPr>
        <w:spacing w:line="276" w:lineRule="auto"/>
        <w:rPr>
          <w:rFonts w:ascii="Times New Roman" w:eastAsia="Times New Roman" w:hAnsi="Times New Roman" w:cs="Times New Roman"/>
          <w:b/>
        </w:rPr>
      </w:pPr>
    </w:p>
    <w:p w14:paraId="5442FB66"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Prof. Bipin Jojo</w:t>
      </w:r>
      <w:r>
        <w:rPr>
          <w:rFonts w:ascii="Times New Roman" w:eastAsia="Times New Roman" w:hAnsi="Times New Roman" w:cs="Times New Roman"/>
        </w:rPr>
        <w:t xml:space="preserve"> opened the panel with brief introductions and set the tone by situating the session within the larger aim of reclaiming tribal voices in mainstream discourse.</w:t>
      </w:r>
    </w:p>
    <w:p w14:paraId="28B36959" w14:textId="77777777" w:rsidR="003934E1" w:rsidRDefault="003934E1">
      <w:pPr>
        <w:spacing w:line="276" w:lineRule="auto"/>
        <w:jc w:val="both"/>
        <w:rPr>
          <w:rFonts w:ascii="Times New Roman" w:eastAsia="Times New Roman" w:hAnsi="Times New Roman" w:cs="Times New Roman"/>
          <w:b/>
        </w:rPr>
      </w:pPr>
    </w:p>
    <w:p w14:paraId="05DD4763"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Prof. Joseph Bara</w:t>
      </w:r>
      <w:r>
        <w:rPr>
          <w:rFonts w:ascii="Times New Roman" w:eastAsia="Times New Roman" w:hAnsi="Times New Roman" w:cs="Times New Roman"/>
        </w:rPr>
        <w:t xml:space="preserve"> began by tracing the long arc of Adivasi protest. He pointed out that what is often dismissed as isolated or sporadic unrest was a continuous thread of resistance. He said serial protests in Central India created such political commotion that the British had no choice but to respond, which eventually led to the 1908 Act. He spoke about how the elite narrative of the time portrayed Adivasis as people who only knew violence, not governance. He highlighted that there was not a single substantive mention of Birsa Munda in mainstream nationalist discourse until 1940, and even then, it was because Adivasi groups themselves put him forward in the Adivasi Mahasabha. He emphasized that this recognition did not come from above but from within. He described how followers of Munda, though barely educated formally, cherished his memory and collected what they could of his teachings. He reminded the audience that while someone like S.C. Roy later joined the </w:t>
      </w:r>
      <w:proofErr w:type="spellStart"/>
      <w:r>
        <w:rPr>
          <w:rFonts w:ascii="Times New Roman" w:eastAsia="Times New Roman" w:hAnsi="Times New Roman" w:cs="Times New Roman"/>
          <w:i/>
        </w:rPr>
        <w:t>Chhotanagpur</w:t>
      </w:r>
      <w:proofErr w:type="spellEnd"/>
      <w:r>
        <w:rPr>
          <w:rFonts w:ascii="Times New Roman" w:eastAsia="Times New Roman" w:hAnsi="Times New Roman" w:cs="Times New Roman"/>
          <w:i/>
        </w:rPr>
        <w:t xml:space="preserve"> Unnati Samaj</w:t>
      </w:r>
      <w:r>
        <w:rPr>
          <w:rFonts w:ascii="Times New Roman" w:eastAsia="Times New Roman" w:hAnsi="Times New Roman" w:cs="Times New Roman"/>
        </w:rPr>
        <w:t>, the nationalist imagination still knew little of Munda. In the Congress proceedings, Adivasis were often described as “sub-Hindus”, a term that captured how they were sidelined even within anti-colonial politics.</w:t>
      </w:r>
    </w:p>
    <w:p w14:paraId="15086275" w14:textId="77777777" w:rsidR="003934E1" w:rsidRDefault="003934E1">
      <w:pPr>
        <w:spacing w:line="276" w:lineRule="auto"/>
        <w:jc w:val="both"/>
        <w:rPr>
          <w:rFonts w:ascii="Times New Roman" w:eastAsia="Times New Roman" w:hAnsi="Times New Roman" w:cs="Times New Roman"/>
        </w:rPr>
      </w:pPr>
    </w:p>
    <w:p w14:paraId="7DB5CC89"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Prof. Virginius </w:t>
      </w:r>
      <w:proofErr w:type="spellStart"/>
      <w:r>
        <w:rPr>
          <w:rFonts w:ascii="Times New Roman" w:eastAsia="Times New Roman" w:hAnsi="Times New Roman" w:cs="Times New Roman"/>
          <w:b/>
        </w:rPr>
        <w:t>Xaxa</w:t>
      </w:r>
      <w:proofErr w:type="spellEnd"/>
      <w:r>
        <w:rPr>
          <w:rFonts w:ascii="Times New Roman" w:eastAsia="Times New Roman" w:hAnsi="Times New Roman" w:cs="Times New Roman"/>
        </w:rPr>
        <w:t xml:space="preserve"> raised an important question: why is there so much focus on Birsa Munda in national memory when so many other tribal leaders remain forgotten? He asked what happens when a single figure is chosen to represent an entire community. Is it about genuine celebration, or about creating a manageable symbol? He reflected on how tribal presence in national discourse has been largely missing, and when it does appear, it is often highly selective. He unpacked the slogan </w:t>
      </w:r>
      <w:r>
        <w:rPr>
          <w:rFonts w:ascii="Times New Roman" w:eastAsia="Times New Roman" w:hAnsi="Times New Roman" w:cs="Times New Roman"/>
          <w:i/>
        </w:rPr>
        <w:t>“</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Dishum</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Raj”</w:t>
      </w:r>
      <w:r>
        <w:rPr>
          <w:rFonts w:ascii="Times New Roman" w:eastAsia="Times New Roman" w:hAnsi="Times New Roman" w:cs="Times New Roman"/>
        </w:rPr>
        <w:t xml:space="preserve"> (our land, our rule), pointing out that it was not just a cry against the British, it was also directed against the local elites, businessmen, landowners, and Indian rulers who worked hand-in-hand with colonial powers. While one set of people, the Adivasis, were being pushed out, another set, British capitalists and Indian collaborators, were moving in. That, he said, was colonization not just in a political sense, but as a takeover of land, language, and life itself. Even after independence, he noted, the promise of legal protection through laws like PESA and FRA, has not materialized on the ground. The state, while claiming to protect Adivasi land and forests, has also been the biggest agent of displacement. Development, he argued, often arrives dressed as sacrifice. But who is sacrificing? And for whom?</w:t>
      </w:r>
    </w:p>
    <w:p w14:paraId="4274A027" w14:textId="77777777" w:rsidR="003934E1" w:rsidRDefault="003934E1">
      <w:pPr>
        <w:spacing w:line="276" w:lineRule="auto"/>
        <w:rPr>
          <w:rFonts w:ascii="Times New Roman" w:eastAsia="Times New Roman" w:hAnsi="Times New Roman" w:cs="Times New Roman"/>
          <w:b/>
        </w:rPr>
      </w:pPr>
    </w:p>
    <w:p w14:paraId="0F30BFBA" w14:textId="77777777" w:rsidR="003934E1" w:rsidRDefault="00000000">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b/>
          <w:color w:val="000000"/>
        </w:rPr>
        <w:t>Dr. Rahul Ranjan</w:t>
      </w:r>
      <w:r>
        <w:rPr>
          <w:rFonts w:ascii="Times New Roman" w:eastAsia="Times New Roman" w:hAnsi="Times New Roman" w:cs="Times New Roman"/>
          <w:color w:val="000000"/>
        </w:rPr>
        <w:t xml:space="preserve"> offered a deeply reflective account of what he called the “politics of memory.” He shared that his own interest in Birsa Munda had developed over the years, shaped by work on Adivasi resistance and constitutional histories. According to him, Munda's historical significance is torn between sincere memory and tactical co-option. Political parties leverage his name to garner support from tribal communities, yet this action removes the progressive substance of his rebellion.</w:t>
      </w:r>
    </w:p>
    <w:p w14:paraId="5C3807F4"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He said history and memory are never neutral, and what we choose to remember and how we remember shapes what becomes possible. Drawing from Prakash </w:t>
      </w:r>
      <w:proofErr w:type="spellStart"/>
      <w:r>
        <w:rPr>
          <w:rFonts w:ascii="Times New Roman" w:eastAsia="Times New Roman" w:hAnsi="Times New Roman" w:cs="Times New Roman"/>
        </w:rPr>
        <w:t>Kashwan’s</w:t>
      </w:r>
      <w:proofErr w:type="spellEnd"/>
      <w:r>
        <w:rPr>
          <w:rFonts w:ascii="Times New Roman" w:eastAsia="Times New Roman" w:hAnsi="Times New Roman" w:cs="Times New Roman"/>
        </w:rPr>
        <w:t xml:space="preserve"> work, he talked about how state-led development continues to push Adivasi communities off their lands, often under the same logic that Nehru used to describe dams as the “temples of modern India.” He </w:t>
      </w:r>
      <w:r>
        <w:rPr>
          <w:rFonts w:ascii="Times New Roman" w:eastAsia="Times New Roman" w:hAnsi="Times New Roman" w:cs="Times New Roman"/>
        </w:rPr>
        <w:lastRenderedPageBreak/>
        <w:t>discussed how Jaipal Munda and others tried to bring Adivasi voices into constitutional debates, but those efforts were often met with silence. Birsa’s image, he said, is now part of official posters and speeches, but the community’s memory of him is much more layered. By celebrating his martyrdom, the state effectively tames his political message, transforming a revolutionary figure into a safe symbol and a forceful leader into a simple emblem.</w:t>
      </w:r>
    </w:p>
    <w:p w14:paraId="6C95FD1F" w14:textId="77777777" w:rsidR="003934E1" w:rsidRDefault="003934E1">
      <w:pPr>
        <w:spacing w:line="276" w:lineRule="auto"/>
        <w:jc w:val="both"/>
        <w:rPr>
          <w:rFonts w:ascii="Times New Roman" w:eastAsia="Times New Roman" w:hAnsi="Times New Roman" w:cs="Times New Roman"/>
        </w:rPr>
      </w:pPr>
    </w:p>
    <w:p w14:paraId="511C742A" w14:textId="77777777" w:rsidR="003934E1"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b/>
        </w:rPr>
        <w:t>Technical Session I: Indigenous Cultural Pride and Practices ( 2:00 - 3:00 pm)</w:t>
      </w:r>
    </w:p>
    <w:p w14:paraId="4BA14A4C"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Venue: Seminar Hall, Third Floor</w:t>
      </w:r>
    </w:p>
    <w:p w14:paraId="05AC13B0"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Chair: Dr Dolly V </w:t>
      </w:r>
      <w:proofErr w:type="spellStart"/>
      <w:r>
        <w:rPr>
          <w:rFonts w:ascii="Times New Roman" w:eastAsia="Times New Roman" w:hAnsi="Times New Roman" w:cs="Times New Roman"/>
        </w:rPr>
        <w:t>Muanching</w:t>
      </w:r>
      <w:proofErr w:type="spellEnd"/>
      <w:r>
        <w:rPr>
          <w:rFonts w:ascii="Times New Roman" w:eastAsia="Times New Roman" w:hAnsi="Times New Roman" w:cs="Times New Roman"/>
        </w:rPr>
        <w:t>, Asst Prof, Dept of English, Jesus and Mary College, Delhi</w:t>
      </w:r>
    </w:p>
    <w:p w14:paraId="357C04C1"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University</w:t>
      </w:r>
    </w:p>
    <w:p w14:paraId="71CF3454"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Judges: Dr </w:t>
      </w:r>
      <w:proofErr w:type="spellStart"/>
      <w:r>
        <w:rPr>
          <w:rFonts w:ascii="Times New Roman" w:eastAsia="Times New Roman" w:hAnsi="Times New Roman" w:cs="Times New Roman"/>
        </w:rPr>
        <w:t>Rohluahpuia</w:t>
      </w:r>
      <w:proofErr w:type="spellEnd"/>
      <w:r>
        <w:rPr>
          <w:rFonts w:ascii="Times New Roman" w:eastAsia="Times New Roman" w:hAnsi="Times New Roman" w:cs="Times New Roman"/>
        </w:rPr>
        <w:t xml:space="preserve">, Asst Prof, IIT Roorkee and Dr Shantanu </w:t>
      </w:r>
      <w:proofErr w:type="spellStart"/>
      <w:r>
        <w:rPr>
          <w:rFonts w:ascii="Times New Roman" w:eastAsia="Times New Roman" w:hAnsi="Times New Roman" w:cs="Times New Roman"/>
        </w:rPr>
        <w:t>Majee</w:t>
      </w:r>
      <w:proofErr w:type="spellEnd"/>
      <w:r>
        <w:rPr>
          <w:rFonts w:ascii="Times New Roman" w:eastAsia="Times New Roman" w:hAnsi="Times New Roman" w:cs="Times New Roman"/>
        </w:rPr>
        <w:t>, Asst Prof, Dept of</w:t>
      </w:r>
    </w:p>
    <w:p w14:paraId="35178103"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English, Techno India University, West Bengal</w:t>
      </w:r>
    </w:p>
    <w:p w14:paraId="61BD2BBA" w14:textId="77777777" w:rsidR="003934E1" w:rsidRDefault="003934E1">
      <w:pPr>
        <w:spacing w:line="276" w:lineRule="auto"/>
        <w:jc w:val="both"/>
        <w:rPr>
          <w:rFonts w:ascii="Times New Roman" w:eastAsia="Times New Roman" w:hAnsi="Times New Roman" w:cs="Times New Roman"/>
        </w:rPr>
      </w:pPr>
    </w:p>
    <w:p w14:paraId="31435E08"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Anindita Saha</w:t>
      </w:r>
      <w:r>
        <w:rPr>
          <w:rFonts w:ascii="Times New Roman" w:eastAsia="Times New Roman" w:hAnsi="Times New Roman" w:cs="Times New Roman"/>
        </w:rPr>
        <w:t xml:space="preserve"> began her presentation titled </w:t>
      </w:r>
      <w:r>
        <w:rPr>
          <w:rFonts w:ascii="Times New Roman" w:eastAsia="Times New Roman" w:hAnsi="Times New Roman" w:cs="Times New Roman"/>
          <w:i/>
        </w:rPr>
        <w:t>“Tribal Folklore as Historical Source: Contributions of North Bengal’s Indigenous Communities to Indian History.”</w:t>
      </w:r>
      <w:r>
        <w:rPr>
          <w:rFonts w:ascii="Times New Roman" w:eastAsia="Times New Roman" w:hAnsi="Times New Roman" w:cs="Times New Roman"/>
        </w:rPr>
        <w:t xml:space="preserve"> She spoke about how oral traditions among the tribal communities of North Bengal are often dismissed because they are not written down, yet they have preserved stories of migration, survival, resistance, and memory across generations. These stories, she said, are more than myths, they are historical narratives that have kept alive the collective identity of these communities. She spoke about the Rajvanshi migration myth that traces the journey from the Himalayas to the foothills of Bengal. In the folklore of the Ragha tribe, she identified recurring themes of heroic leadership and values of solidarity and justice. She also touched upon the Lepcha and Limbu communities, whose stories are deeply connected to the sacred landscape, mountains, rivers, rituals that reflect a cosmology built on respect for nature. Her central argument was clear: these oral narratives challenge mainstream history and must be treated as legitimate sources of knowledge.</w:t>
      </w:r>
    </w:p>
    <w:p w14:paraId="007B1C1F" w14:textId="77777777" w:rsidR="003934E1" w:rsidRDefault="003934E1">
      <w:pPr>
        <w:spacing w:line="276" w:lineRule="auto"/>
        <w:jc w:val="both"/>
        <w:rPr>
          <w:rFonts w:ascii="Times New Roman" w:eastAsia="Times New Roman" w:hAnsi="Times New Roman" w:cs="Times New Roman"/>
        </w:rPr>
      </w:pPr>
    </w:p>
    <w:p w14:paraId="0DF2821E"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Harshvardhan Gautam</w:t>
      </w:r>
      <w:r>
        <w:rPr>
          <w:rFonts w:ascii="Times New Roman" w:eastAsia="Times New Roman" w:hAnsi="Times New Roman" w:cs="Times New Roman"/>
        </w:rPr>
        <w:t xml:space="preserve"> presented on the indigenous culture of the Gond Tribe in MP. His presentation laid a central emphasis on the preservation of the rich cultural heritage and traditions of the Gond Tribe of Madhya Pradesh. He delves into the historical backdrop of the formation of the Gond Tribe and in the process discusses the lifestyle and cultural practices the tribe has nurtured over the ages, often inseparable from their rich spiritual belief systems. Art forms also serve as an important medium through which we can see their rich cultural traditions on full display. The physical environment the Gond tribe dwells in finds relevance in their culture and festivals thereby playing an important role in the preservation of their indigenous heritage. Both the judges lauded his efforts in bringing this important discourse to the table and prompted questions about how to address this further.</w:t>
      </w:r>
    </w:p>
    <w:p w14:paraId="2B767CDC" w14:textId="77777777" w:rsidR="003934E1" w:rsidRDefault="003934E1">
      <w:pPr>
        <w:spacing w:line="276" w:lineRule="auto"/>
        <w:rPr>
          <w:rFonts w:ascii="Times New Roman" w:eastAsia="Times New Roman" w:hAnsi="Times New Roman" w:cs="Times New Roman"/>
        </w:rPr>
      </w:pPr>
    </w:p>
    <w:p w14:paraId="7BA0DF98" w14:textId="77777777" w:rsidR="003934E1" w:rsidRDefault="00000000">
      <w:pPr>
        <w:spacing w:line="276" w:lineRule="auto"/>
        <w:rPr>
          <w:rFonts w:ascii="Times New Roman" w:eastAsia="Times New Roman" w:hAnsi="Times New Roman" w:cs="Times New Roman"/>
          <w:b/>
          <w:i/>
        </w:rPr>
      </w:pPr>
      <w:r>
        <w:rPr>
          <w:rFonts w:ascii="Times New Roman" w:eastAsia="Times New Roman" w:hAnsi="Times New Roman" w:cs="Times New Roman"/>
          <w:b/>
        </w:rPr>
        <w:t>Technical Session II: Decolonizing Tribal Studies</w:t>
      </w:r>
    </w:p>
    <w:p w14:paraId="65AEC057" w14:textId="77777777" w:rsidR="003934E1" w:rsidRDefault="00000000">
      <w:pPr>
        <w:spacing w:line="276" w:lineRule="auto"/>
        <w:rPr>
          <w:rFonts w:ascii="Times New Roman" w:eastAsia="Times New Roman" w:hAnsi="Times New Roman" w:cs="Times New Roman"/>
          <w:b/>
          <w:i/>
        </w:rPr>
      </w:pPr>
      <w:r>
        <w:rPr>
          <w:rFonts w:ascii="Times New Roman" w:eastAsia="Times New Roman" w:hAnsi="Times New Roman" w:cs="Times New Roman"/>
          <w:b/>
          <w:i/>
        </w:rPr>
        <w:t>Moderator: Dr. Bipasha Rosy Lakra</w:t>
      </w:r>
    </w:p>
    <w:p w14:paraId="7C15C442" w14:textId="77777777" w:rsidR="003934E1" w:rsidRDefault="00000000">
      <w:pPr>
        <w:spacing w:line="276" w:lineRule="auto"/>
        <w:rPr>
          <w:rFonts w:ascii="Times New Roman" w:eastAsia="Times New Roman" w:hAnsi="Times New Roman" w:cs="Times New Roman"/>
        </w:rPr>
      </w:pPr>
      <w:r>
        <w:rPr>
          <w:rFonts w:ascii="Times New Roman" w:eastAsia="Times New Roman" w:hAnsi="Times New Roman" w:cs="Times New Roman"/>
          <w:b/>
          <w:i/>
        </w:rPr>
        <w:t xml:space="preserve">Judges: Dr. Deepali </w:t>
      </w:r>
      <w:proofErr w:type="spellStart"/>
      <w:r>
        <w:rPr>
          <w:rFonts w:ascii="Times New Roman" w:eastAsia="Times New Roman" w:hAnsi="Times New Roman" w:cs="Times New Roman"/>
          <w:b/>
          <w:i/>
        </w:rPr>
        <w:t>Dungdung</w:t>
      </w:r>
      <w:proofErr w:type="spellEnd"/>
      <w:r>
        <w:rPr>
          <w:rFonts w:ascii="Times New Roman" w:eastAsia="Times New Roman" w:hAnsi="Times New Roman" w:cs="Times New Roman"/>
          <w:b/>
          <w:i/>
        </w:rPr>
        <w:t xml:space="preserve"> and Dr. Blessy Abraham</w:t>
      </w:r>
    </w:p>
    <w:p w14:paraId="6A172570" w14:textId="77777777" w:rsidR="003934E1" w:rsidRDefault="003934E1">
      <w:pPr>
        <w:spacing w:line="276" w:lineRule="auto"/>
        <w:rPr>
          <w:rFonts w:ascii="Times New Roman" w:eastAsia="Times New Roman" w:hAnsi="Times New Roman" w:cs="Times New Roman"/>
        </w:rPr>
      </w:pPr>
    </w:p>
    <w:p w14:paraId="1504377F"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lastRenderedPageBreak/>
        <w:t>Dr. Bipasha Rosy Lakra</w:t>
      </w:r>
      <w:r>
        <w:rPr>
          <w:rFonts w:ascii="Times New Roman" w:eastAsia="Times New Roman" w:hAnsi="Times New Roman" w:cs="Times New Roman"/>
        </w:rPr>
        <w:t xml:space="preserve"> opened the session by greeting the audience and laying out the structure of the presentations. She reminded everyone that the session was not just about research but about listening closely and holding space for the questions that come from within.</w:t>
      </w:r>
    </w:p>
    <w:p w14:paraId="5DD1B5A3" w14:textId="77777777" w:rsidR="003934E1" w:rsidRDefault="003934E1">
      <w:pPr>
        <w:spacing w:line="276" w:lineRule="auto"/>
        <w:jc w:val="both"/>
        <w:rPr>
          <w:rFonts w:ascii="Times New Roman" w:eastAsia="Times New Roman" w:hAnsi="Times New Roman" w:cs="Times New Roman"/>
          <w:b/>
        </w:rPr>
      </w:pPr>
    </w:p>
    <w:p w14:paraId="51321863" w14:textId="77777777" w:rsidR="003934E1" w:rsidRDefault="003934E1">
      <w:pPr>
        <w:spacing w:line="276" w:lineRule="auto"/>
        <w:jc w:val="both"/>
        <w:rPr>
          <w:rFonts w:ascii="Times New Roman" w:eastAsia="Times New Roman" w:hAnsi="Times New Roman" w:cs="Times New Roman"/>
          <w:b/>
        </w:rPr>
      </w:pPr>
    </w:p>
    <w:p w14:paraId="09DE7692"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Roshan </w:t>
      </w:r>
      <w:proofErr w:type="spellStart"/>
      <w:r>
        <w:rPr>
          <w:rFonts w:ascii="Times New Roman" w:eastAsia="Times New Roman" w:hAnsi="Times New Roman" w:cs="Times New Roman"/>
          <w:b/>
        </w:rPr>
        <w:t>Xalxo</w:t>
      </w:r>
      <w:proofErr w:type="spellEnd"/>
      <w:r>
        <w:rPr>
          <w:rFonts w:ascii="Times New Roman" w:eastAsia="Times New Roman" w:hAnsi="Times New Roman" w:cs="Times New Roman"/>
        </w:rPr>
        <w:t xml:space="preserve"> presented a thought-provoking paper titled </w:t>
      </w:r>
      <w:r>
        <w:rPr>
          <w:rFonts w:ascii="Times New Roman" w:eastAsia="Times New Roman" w:hAnsi="Times New Roman" w:cs="Times New Roman"/>
          <w:i/>
        </w:rPr>
        <w:t>“</w:t>
      </w:r>
      <w:proofErr w:type="spellStart"/>
      <w:r>
        <w:rPr>
          <w:rFonts w:ascii="Times New Roman" w:eastAsia="Times New Roman" w:hAnsi="Times New Roman" w:cs="Times New Roman"/>
          <w:i/>
        </w:rPr>
        <w:t>Adivasiyat</w:t>
      </w:r>
      <w:proofErr w:type="spellEnd"/>
      <w:r>
        <w:rPr>
          <w:rFonts w:ascii="Times New Roman" w:eastAsia="Times New Roman" w:hAnsi="Times New Roman" w:cs="Times New Roman"/>
          <w:i/>
        </w:rPr>
        <w:t>: A Philosophy to Decolonise the Tribe.”</w:t>
      </w:r>
      <w:r>
        <w:rPr>
          <w:rFonts w:ascii="Times New Roman" w:eastAsia="Times New Roman" w:hAnsi="Times New Roman" w:cs="Times New Roman"/>
        </w:rPr>
        <w:t xml:space="preserve"> He started by naming the problem, how even after independence, the frameworks used to study tribal communities have remained colonial at their core. He pointed out that tribal communities have been classified under many names, often by outsiders, which shows that they have never truly been understood on their own terms. </w:t>
      </w:r>
      <w:proofErr w:type="spellStart"/>
      <w:r>
        <w:rPr>
          <w:rFonts w:ascii="Times New Roman" w:eastAsia="Times New Roman" w:hAnsi="Times New Roman" w:cs="Times New Roman"/>
        </w:rPr>
        <w:t>Adivasiyat</w:t>
      </w:r>
      <w:proofErr w:type="spellEnd"/>
      <w:r>
        <w:rPr>
          <w:rFonts w:ascii="Times New Roman" w:eastAsia="Times New Roman" w:hAnsi="Times New Roman" w:cs="Times New Roman"/>
        </w:rPr>
        <w:t xml:space="preserve">, for him, is not just a term but a lived philosophy. It represents a worldview that places community, land, forest, and water at the centre. He explained how environmental degradation and cultural appropriation continue to break the bond between the Adivasi and their way of life. His paper also pointed to how policies like </w:t>
      </w:r>
      <w:proofErr w:type="spellStart"/>
      <w:r>
        <w:rPr>
          <w:rFonts w:ascii="Times New Roman" w:eastAsia="Times New Roman" w:hAnsi="Times New Roman" w:cs="Times New Roman"/>
          <w:i/>
        </w:rPr>
        <w:t>ghar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waapsi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and state-driven integration have flattened the diverse identities of tribal communities. The most striking argument he made was that the term “Adivasi” itself has power, it is not just descriptive but assertive. It carries a claim to the land and to history. He said if we are to decolonise, we have to begin with language, with naming ourselves in our own words.</w:t>
      </w:r>
    </w:p>
    <w:p w14:paraId="36776208" w14:textId="77777777" w:rsidR="003934E1" w:rsidRDefault="003934E1">
      <w:pPr>
        <w:spacing w:line="276" w:lineRule="auto"/>
        <w:jc w:val="both"/>
        <w:rPr>
          <w:rFonts w:ascii="Times New Roman" w:eastAsia="Times New Roman" w:hAnsi="Times New Roman" w:cs="Times New Roman"/>
          <w:b/>
        </w:rPr>
      </w:pPr>
    </w:p>
    <w:p w14:paraId="1CF8A014"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Jishnu Suresh</w:t>
      </w:r>
      <w:r>
        <w:rPr>
          <w:rFonts w:ascii="Times New Roman" w:eastAsia="Times New Roman" w:hAnsi="Times New Roman" w:cs="Times New Roman"/>
        </w:rPr>
        <w:t xml:space="preserve"> delivered his paper </w:t>
      </w:r>
      <w:r>
        <w:rPr>
          <w:rFonts w:ascii="Times New Roman" w:eastAsia="Times New Roman" w:hAnsi="Times New Roman" w:cs="Times New Roman"/>
          <w:i/>
        </w:rPr>
        <w:t>“Decolonizing Tribal Studies: Understanding Tribal Identity Beyond Stereotypes.”</w:t>
      </w:r>
      <w:r>
        <w:rPr>
          <w:rFonts w:ascii="Times New Roman" w:eastAsia="Times New Roman" w:hAnsi="Times New Roman" w:cs="Times New Roman"/>
        </w:rPr>
        <w:t xml:space="preserve"> He began with the observation that colonial descriptions of tribes, as primitive, backward, and marginal, still persist in academic, political, and media narratives. He called out the systematic exclusion of tribal knowledge systems, values, and political thought. But he did not just critique, he also offered a way forward. Jishnu urged that we think of tribal communities not as static or reactive, but as deeply democratic, rooted in the ethics of care, and capable of offering models for how to live more justly today. For him, decolonization was not a metaphor, it was a political movement. It is about centring tribal perspectives, returning to indigenous knowledge systems, and giving agency back to the communities that have been spoken about but rarely spoken with.</w:t>
      </w:r>
    </w:p>
    <w:p w14:paraId="0921EA92" w14:textId="77777777" w:rsidR="003934E1" w:rsidRDefault="003934E1">
      <w:pPr>
        <w:spacing w:line="276" w:lineRule="auto"/>
        <w:jc w:val="both"/>
        <w:rPr>
          <w:rFonts w:ascii="Times New Roman" w:eastAsia="Times New Roman" w:hAnsi="Times New Roman" w:cs="Times New Roman"/>
          <w:b/>
        </w:rPr>
      </w:pPr>
    </w:p>
    <w:p w14:paraId="7530AB91"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Manish Surin</w:t>
      </w:r>
      <w:r>
        <w:rPr>
          <w:rFonts w:ascii="Times New Roman" w:eastAsia="Times New Roman" w:hAnsi="Times New Roman" w:cs="Times New Roman"/>
        </w:rPr>
        <w:t xml:space="preserve"> ended the session with his presentation titled </w:t>
      </w:r>
      <w:r>
        <w:rPr>
          <w:rFonts w:ascii="Times New Roman" w:eastAsia="Times New Roman" w:hAnsi="Times New Roman" w:cs="Times New Roman"/>
          <w:i/>
        </w:rPr>
        <w:t>“From ‘Larka’ to ‘Separatist’: Colonial Legacies and the Ho Adivasi-State Relationship in Jharkhand.”</w:t>
      </w:r>
      <w:r>
        <w:rPr>
          <w:rFonts w:ascii="Times New Roman" w:eastAsia="Times New Roman" w:hAnsi="Times New Roman" w:cs="Times New Roman"/>
        </w:rPr>
        <w:t xml:space="preserve"> He focused on the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region and looked closely at the history of colonial governance through Wilkinson’s 31 rules. He explained how even after colonialism officially ended, these structures remained intact, shaping how the state continues to view and govern Adivasi communities. Manish traced the 1830s Kol rebellion and showed how colonial administrators folded indigenous systems like the </w:t>
      </w:r>
      <w:r>
        <w:rPr>
          <w:rFonts w:ascii="Times New Roman" w:eastAsia="Times New Roman" w:hAnsi="Times New Roman" w:cs="Times New Roman"/>
          <w:i/>
        </w:rPr>
        <w:t>Munda-</w:t>
      </w:r>
      <w:proofErr w:type="spellStart"/>
      <w:r>
        <w:rPr>
          <w:rFonts w:ascii="Times New Roman" w:eastAsia="Times New Roman" w:hAnsi="Times New Roman" w:cs="Times New Roman"/>
          <w:i/>
        </w:rPr>
        <w:t>Manki</w:t>
      </w:r>
      <w:proofErr w:type="spellEnd"/>
      <w:r>
        <w:rPr>
          <w:rFonts w:ascii="Times New Roman" w:eastAsia="Times New Roman" w:hAnsi="Times New Roman" w:cs="Times New Roman"/>
        </w:rPr>
        <w:t xml:space="preserve"> into their bureaucratic framework, turning them into tools of control rather than expressions of self-rule. He critiqued the way resistance is still framed, as ‘separatism’ rather than legitimate political dissent. His presentation was a reminder that colonial rule does not just survive in texts, it survives in law, policy, and public perception.</w:t>
      </w:r>
    </w:p>
    <w:p w14:paraId="6732D348" w14:textId="77777777" w:rsidR="003934E1" w:rsidRDefault="003934E1">
      <w:pPr>
        <w:spacing w:line="276" w:lineRule="auto"/>
        <w:jc w:val="both"/>
        <w:rPr>
          <w:rFonts w:ascii="Times New Roman" w:eastAsia="Times New Roman" w:hAnsi="Times New Roman" w:cs="Times New Roman"/>
        </w:rPr>
      </w:pPr>
    </w:p>
    <w:p w14:paraId="23E069DE"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The session closed with comments from the judges and questions from the audience. One participant asked Manish how his work helped move from the label of “</w:t>
      </w:r>
      <w:proofErr w:type="spellStart"/>
      <w:r>
        <w:rPr>
          <w:rFonts w:ascii="Times New Roman" w:eastAsia="Times New Roman" w:hAnsi="Times New Roman" w:cs="Times New Roman"/>
        </w:rPr>
        <w:t>larka</w:t>
      </w:r>
      <w:proofErr w:type="spellEnd"/>
      <w:r>
        <w:rPr>
          <w:rFonts w:ascii="Times New Roman" w:eastAsia="Times New Roman" w:hAnsi="Times New Roman" w:cs="Times New Roman"/>
        </w:rPr>
        <w:t xml:space="preserve">” (fighter) to “separatist” back to something self-defined. The judges encouraged all the presenters to think </w:t>
      </w:r>
      <w:r>
        <w:rPr>
          <w:rFonts w:ascii="Times New Roman" w:eastAsia="Times New Roman" w:hAnsi="Times New Roman" w:cs="Times New Roman"/>
        </w:rPr>
        <w:lastRenderedPageBreak/>
        <w:t>more deeply about what they expect from the term “decoloniality.” They pushed for a sharper theoretical lens, particularly a de-Brahmanical one, as suggested by scholar Arvind Kumar, and asked what it really means to decolonise without flattening the complexity of these lived experiences.</w:t>
      </w:r>
    </w:p>
    <w:p w14:paraId="734A3506" w14:textId="77777777" w:rsidR="003934E1" w:rsidRDefault="003934E1">
      <w:pPr>
        <w:spacing w:line="276" w:lineRule="auto"/>
        <w:jc w:val="both"/>
        <w:rPr>
          <w:rFonts w:ascii="Times New Roman" w:eastAsia="Times New Roman" w:hAnsi="Times New Roman" w:cs="Times New Roman"/>
        </w:rPr>
      </w:pPr>
    </w:p>
    <w:p w14:paraId="00E11D0C" w14:textId="77777777" w:rsidR="003934E1" w:rsidRDefault="00000000">
      <w:pPr>
        <w:spacing w:line="276" w:lineRule="auto"/>
        <w:rPr>
          <w:rFonts w:ascii="Times New Roman" w:eastAsia="Times New Roman" w:hAnsi="Times New Roman" w:cs="Times New Roman"/>
          <w:b/>
          <w:i/>
        </w:rPr>
      </w:pPr>
      <w:r>
        <w:rPr>
          <w:rFonts w:ascii="Times New Roman" w:eastAsia="Times New Roman" w:hAnsi="Times New Roman" w:cs="Times New Roman"/>
          <w:b/>
        </w:rPr>
        <w:t>Technical Session III: Tribal Consciousness in Literary Expression</w:t>
      </w:r>
    </w:p>
    <w:p w14:paraId="5723FE32" w14:textId="77777777" w:rsidR="003934E1"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Moderator/Chair: Dr. Juhi Rose Vandana Minz</w:t>
      </w:r>
    </w:p>
    <w:p w14:paraId="1ADB9DC8" w14:textId="77777777" w:rsidR="003934E1"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Judges: Dr. Rahi Soren &amp; Dr. Payal Anil Padmanabhan</w:t>
      </w:r>
    </w:p>
    <w:p w14:paraId="7640C9E2" w14:textId="77777777" w:rsidR="003934E1" w:rsidRDefault="003934E1">
      <w:pPr>
        <w:spacing w:line="276" w:lineRule="auto"/>
        <w:rPr>
          <w:rFonts w:ascii="Arial" w:eastAsia="Arial" w:hAnsi="Arial" w:cs="Arial"/>
          <w:color w:val="222222"/>
          <w:sz w:val="22"/>
          <w:szCs w:val="22"/>
        </w:rPr>
      </w:pPr>
    </w:p>
    <w:p w14:paraId="2E8DE734" w14:textId="77777777" w:rsidR="003934E1" w:rsidRDefault="003934E1">
      <w:pPr>
        <w:spacing w:line="276" w:lineRule="auto"/>
        <w:rPr>
          <w:rFonts w:ascii="Arial" w:eastAsia="Arial" w:hAnsi="Arial" w:cs="Arial"/>
          <w:color w:val="222222"/>
          <w:sz w:val="22"/>
          <w:szCs w:val="22"/>
        </w:rPr>
      </w:pPr>
    </w:p>
    <w:p w14:paraId="14EB725C" w14:textId="77777777" w:rsidR="003934E1" w:rsidRDefault="00000000">
      <w:pPr>
        <w:spacing w:line="276" w:lineRule="auto"/>
        <w:jc w:val="both"/>
        <w:rPr>
          <w:rFonts w:ascii="Times New Roman" w:eastAsia="Times New Roman" w:hAnsi="Times New Roman" w:cs="Times New Roman"/>
          <w:color w:val="222222"/>
        </w:rPr>
      </w:pPr>
      <w:r>
        <w:rPr>
          <w:rFonts w:ascii="Times New Roman" w:eastAsia="Times New Roman" w:hAnsi="Times New Roman" w:cs="Times New Roman"/>
          <w:b/>
          <w:color w:val="222222"/>
        </w:rPr>
        <w:t xml:space="preserve">Md. Sinan and </w:t>
      </w:r>
      <w:proofErr w:type="spellStart"/>
      <w:r>
        <w:rPr>
          <w:rFonts w:ascii="Times New Roman" w:eastAsia="Times New Roman" w:hAnsi="Times New Roman" w:cs="Times New Roman"/>
          <w:b/>
          <w:color w:val="222222"/>
        </w:rPr>
        <w:t>Abusalman</w:t>
      </w:r>
      <w:proofErr w:type="spellEnd"/>
      <w:r>
        <w:rPr>
          <w:rFonts w:ascii="Times New Roman" w:eastAsia="Times New Roman" w:hAnsi="Times New Roman" w:cs="Times New Roman"/>
          <w:b/>
          <w:color w:val="222222"/>
        </w:rPr>
        <w:t xml:space="preserve"> T S </w:t>
      </w:r>
      <w:r>
        <w:rPr>
          <w:rFonts w:ascii="Times New Roman" w:eastAsia="Times New Roman" w:hAnsi="Times New Roman" w:cs="Times New Roman"/>
          <w:color w:val="222222"/>
        </w:rPr>
        <w:t xml:space="preserve">in their paper titled </w:t>
      </w:r>
      <w:r>
        <w:rPr>
          <w:rFonts w:ascii="Times New Roman" w:eastAsia="Times New Roman" w:hAnsi="Times New Roman" w:cs="Times New Roman"/>
          <w:i/>
          <w:color w:val="222222"/>
        </w:rPr>
        <w:t>“</w:t>
      </w:r>
      <w:proofErr w:type="spellStart"/>
      <w:r>
        <w:rPr>
          <w:rFonts w:ascii="Times New Roman" w:eastAsia="Times New Roman" w:hAnsi="Times New Roman" w:cs="Times New Roman"/>
          <w:i/>
          <w:color w:val="222222"/>
        </w:rPr>
        <w:t>Nanjiyamma</w:t>
      </w:r>
      <w:proofErr w:type="spellEnd"/>
      <w:r>
        <w:rPr>
          <w:rFonts w:ascii="Times New Roman" w:eastAsia="Times New Roman" w:hAnsi="Times New Roman" w:cs="Times New Roman"/>
          <w:i/>
          <w:color w:val="222222"/>
        </w:rPr>
        <w:t xml:space="preserve"> and </w:t>
      </w:r>
      <w:proofErr w:type="spellStart"/>
      <w:r>
        <w:rPr>
          <w:rFonts w:ascii="Times New Roman" w:eastAsia="Times New Roman" w:hAnsi="Times New Roman" w:cs="Times New Roman"/>
          <w:i/>
          <w:color w:val="222222"/>
        </w:rPr>
        <w:t>Kalakkatha</w:t>
      </w:r>
      <w:proofErr w:type="spellEnd"/>
      <w:r>
        <w:rPr>
          <w:rFonts w:ascii="Times New Roman" w:eastAsia="Times New Roman" w:hAnsi="Times New Roman" w:cs="Times New Roman"/>
          <w:i/>
          <w:color w:val="222222"/>
        </w:rPr>
        <w:t xml:space="preserve"> Song: </w:t>
      </w:r>
      <w:proofErr w:type="spellStart"/>
      <w:r>
        <w:rPr>
          <w:rFonts w:ascii="Times New Roman" w:eastAsia="Times New Roman" w:hAnsi="Times New Roman" w:cs="Times New Roman"/>
          <w:i/>
          <w:color w:val="222222"/>
        </w:rPr>
        <w:t>Analyzing</w:t>
      </w:r>
      <w:proofErr w:type="spellEnd"/>
      <w:r>
        <w:rPr>
          <w:rFonts w:ascii="Times New Roman" w:eastAsia="Times New Roman" w:hAnsi="Times New Roman" w:cs="Times New Roman"/>
          <w:i/>
          <w:color w:val="222222"/>
        </w:rPr>
        <w:t xml:space="preserve"> the Tribal Folk Tradition and Dialects of the </w:t>
      </w:r>
      <w:proofErr w:type="spellStart"/>
      <w:r>
        <w:rPr>
          <w:rFonts w:ascii="Times New Roman" w:eastAsia="Times New Roman" w:hAnsi="Times New Roman" w:cs="Times New Roman"/>
          <w:i/>
          <w:color w:val="222222"/>
        </w:rPr>
        <w:t>Irula</w:t>
      </w:r>
      <w:proofErr w:type="spellEnd"/>
      <w:r>
        <w:rPr>
          <w:rFonts w:ascii="Times New Roman" w:eastAsia="Times New Roman" w:hAnsi="Times New Roman" w:cs="Times New Roman"/>
          <w:i/>
          <w:color w:val="222222"/>
        </w:rPr>
        <w:t xml:space="preserve"> Community” </w:t>
      </w:r>
      <w:r>
        <w:rPr>
          <w:rFonts w:ascii="Times New Roman" w:eastAsia="Times New Roman" w:hAnsi="Times New Roman" w:cs="Times New Roman"/>
          <w:color w:val="222222"/>
        </w:rPr>
        <w:t xml:space="preserve">jointly explored the cultural and linguistic significance of </w:t>
      </w:r>
      <w:proofErr w:type="spellStart"/>
      <w:r>
        <w:rPr>
          <w:rFonts w:ascii="Times New Roman" w:eastAsia="Times New Roman" w:hAnsi="Times New Roman" w:cs="Times New Roman"/>
          <w:color w:val="222222"/>
        </w:rPr>
        <w:t>Nanjiyamma</w:t>
      </w:r>
      <w:proofErr w:type="spellEnd"/>
      <w:r>
        <w:rPr>
          <w:rFonts w:ascii="Times New Roman" w:eastAsia="Times New Roman" w:hAnsi="Times New Roman" w:cs="Times New Roman"/>
          <w:color w:val="222222"/>
        </w:rPr>
        <w:t xml:space="preserve">, an indigenous folk artist from the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community in </w:t>
      </w:r>
      <w:proofErr w:type="spellStart"/>
      <w:r>
        <w:rPr>
          <w:rFonts w:ascii="Times New Roman" w:eastAsia="Times New Roman" w:hAnsi="Times New Roman" w:cs="Times New Roman"/>
          <w:color w:val="222222"/>
        </w:rPr>
        <w:t>Attappadi</w:t>
      </w:r>
      <w:proofErr w:type="spellEnd"/>
      <w:r>
        <w:rPr>
          <w:rFonts w:ascii="Times New Roman" w:eastAsia="Times New Roman" w:hAnsi="Times New Roman" w:cs="Times New Roman"/>
          <w:color w:val="222222"/>
        </w:rPr>
        <w:t xml:space="preserve">, Kerala. As both lyricist and singer, </w:t>
      </w:r>
      <w:proofErr w:type="spellStart"/>
      <w:r>
        <w:rPr>
          <w:rFonts w:ascii="Times New Roman" w:eastAsia="Times New Roman" w:hAnsi="Times New Roman" w:cs="Times New Roman"/>
          <w:color w:val="222222"/>
        </w:rPr>
        <w:t>Nanjiyamma</w:t>
      </w:r>
      <w:proofErr w:type="spellEnd"/>
      <w:r>
        <w:rPr>
          <w:rFonts w:ascii="Times New Roman" w:eastAsia="Times New Roman" w:hAnsi="Times New Roman" w:cs="Times New Roman"/>
          <w:color w:val="222222"/>
        </w:rPr>
        <w:t xml:space="preserve"> brought national attention to the endangered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language, making it visible on a mainstream cinematic platform. Her recognition, including the National Award for Best Female Playback Singer, represents a breakthrough for tribal women in Indian public discourse. The paper portrayed her success within broader frameworks of Adivasi representation, language politics, and cultural resistance. It also compared her authentic participation with the more mediated portrayals in Malayalam parallel cinema. </w:t>
      </w:r>
      <w:proofErr w:type="spellStart"/>
      <w:r>
        <w:rPr>
          <w:rFonts w:ascii="Times New Roman" w:eastAsia="Times New Roman" w:hAnsi="Times New Roman" w:cs="Times New Roman"/>
          <w:color w:val="222222"/>
        </w:rPr>
        <w:t>Nanjiyamma’s</w:t>
      </w:r>
      <w:proofErr w:type="spellEnd"/>
      <w:r>
        <w:rPr>
          <w:rFonts w:ascii="Times New Roman" w:eastAsia="Times New Roman" w:hAnsi="Times New Roman" w:cs="Times New Roman"/>
          <w:color w:val="222222"/>
        </w:rPr>
        <w:t xml:space="preserve"> journey from a tribal hamlet to national fame highlights how indigenous oral traditions can thrive in digital and commercial spaces without losing authenticity. The study underscores the role of digital media in intergenerational cultural transmission and emphasizes the need for structural changes to ensure broader inclusion of tribal voices. </w:t>
      </w:r>
      <w:proofErr w:type="spellStart"/>
      <w:r>
        <w:rPr>
          <w:rFonts w:ascii="Times New Roman" w:eastAsia="Times New Roman" w:hAnsi="Times New Roman" w:cs="Times New Roman"/>
          <w:color w:val="222222"/>
        </w:rPr>
        <w:t>Nanjiyamma’s</w:t>
      </w:r>
      <w:proofErr w:type="spellEnd"/>
      <w:r>
        <w:rPr>
          <w:rFonts w:ascii="Times New Roman" w:eastAsia="Times New Roman" w:hAnsi="Times New Roman" w:cs="Times New Roman"/>
          <w:color w:val="222222"/>
        </w:rPr>
        <w:t xml:space="preserve"> story exemplifies the evolving vitality of tribal heritage in the 21st century and offers a powerful model for cultural preservation, resistance, and revival through music and language.</w:t>
      </w:r>
    </w:p>
    <w:p w14:paraId="278EFD4E" w14:textId="77777777" w:rsidR="003934E1" w:rsidRDefault="003934E1">
      <w:pPr>
        <w:spacing w:line="276" w:lineRule="auto"/>
        <w:rPr>
          <w:rFonts w:ascii="Times New Roman" w:eastAsia="Times New Roman" w:hAnsi="Times New Roman" w:cs="Times New Roman"/>
          <w:color w:val="222222"/>
        </w:rPr>
      </w:pPr>
    </w:p>
    <w:p w14:paraId="3398508F" w14:textId="77777777" w:rsidR="003934E1" w:rsidRDefault="003934E1">
      <w:pPr>
        <w:spacing w:line="276" w:lineRule="auto"/>
        <w:rPr>
          <w:rFonts w:ascii="Times New Roman" w:eastAsia="Times New Roman" w:hAnsi="Times New Roman" w:cs="Times New Roman"/>
          <w:color w:val="222222"/>
        </w:rPr>
      </w:pPr>
    </w:p>
    <w:p w14:paraId="755752C4" w14:textId="77777777" w:rsidR="003934E1" w:rsidRDefault="00000000">
      <w:pPr>
        <w:spacing w:line="276" w:lineRule="auto"/>
        <w:jc w:val="both"/>
        <w:rPr>
          <w:rFonts w:ascii="Times New Roman" w:eastAsia="Times New Roman" w:hAnsi="Times New Roman" w:cs="Times New Roman"/>
          <w:color w:val="222222"/>
        </w:rPr>
      </w:pPr>
      <w:r>
        <w:rPr>
          <w:rFonts w:ascii="Times New Roman" w:eastAsia="Times New Roman" w:hAnsi="Times New Roman" w:cs="Times New Roman"/>
          <w:b/>
          <w:color w:val="222222"/>
        </w:rPr>
        <w:t>Samarth Singhal</w:t>
      </w:r>
      <w:r>
        <w:rPr>
          <w:rFonts w:ascii="Times New Roman" w:eastAsia="Times New Roman" w:hAnsi="Times New Roman" w:cs="Times New Roman"/>
          <w:color w:val="222222"/>
        </w:rPr>
        <w:t xml:space="preserve"> in his paper titled</w:t>
      </w:r>
      <w:r>
        <w:rPr>
          <w:rFonts w:ascii="Times New Roman" w:eastAsia="Times New Roman" w:hAnsi="Times New Roman" w:cs="Times New Roman"/>
          <w:i/>
          <w:color w:val="222222"/>
        </w:rPr>
        <w:t xml:space="preserve"> “Collaboration and/or Appropriation: Adivasi art in the Anglophone </w:t>
      </w:r>
      <w:proofErr w:type="spellStart"/>
      <w:r>
        <w:rPr>
          <w:rFonts w:ascii="Times New Roman" w:eastAsia="Times New Roman" w:hAnsi="Times New Roman" w:cs="Times New Roman"/>
          <w:i/>
          <w:color w:val="222222"/>
        </w:rPr>
        <w:t>Picturebook</w:t>
      </w:r>
      <w:proofErr w:type="spellEnd"/>
      <w:r>
        <w:rPr>
          <w:rFonts w:ascii="Times New Roman" w:eastAsia="Times New Roman" w:hAnsi="Times New Roman" w:cs="Times New Roman"/>
          <w:i/>
          <w:color w:val="222222"/>
        </w:rPr>
        <w:t xml:space="preserve">” </w:t>
      </w:r>
      <w:r>
        <w:rPr>
          <w:rFonts w:ascii="Times New Roman" w:eastAsia="Times New Roman" w:hAnsi="Times New Roman" w:cs="Times New Roman"/>
          <w:color w:val="222222"/>
        </w:rPr>
        <w:t xml:space="preserve">examined the complex dynamics of collaboration and appropriation in the production of Anglophone </w:t>
      </w:r>
      <w:proofErr w:type="spellStart"/>
      <w:r>
        <w:rPr>
          <w:rFonts w:ascii="Times New Roman" w:eastAsia="Times New Roman" w:hAnsi="Times New Roman" w:cs="Times New Roman"/>
          <w:color w:val="222222"/>
        </w:rPr>
        <w:t>picturebooks</w:t>
      </w:r>
      <w:proofErr w:type="spellEnd"/>
      <w:r>
        <w:rPr>
          <w:rFonts w:ascii="Times New Roman" w:eastAsia="Times New Roman" w:hAnsi="Times New Roman" w:cs="Times New Roman"/>
          <w:color w:val="222222"/>
        </w:rPr>
        <w:t xml:space="preserve"> featuring Adivasi art, focusing on visual narratives of </w:t>
      </w:r>
      <w:proofErr w:type="spellStart"/>
      <w:r>
        <w:rPr>
          <w:rFonts w:ascii="Times New Roman" w:eastAsia="Times New Roman" w:hAnsi="Times New Roman" w:cs="Times New Roman"/>
          <w:color w:val="222222"/>
        </w:rPr>
        <w:t>Pardhan</w:t>
      </w:r>
      <w:proofErr w:type="spellEnd"/>
      <w:r>
        <w:rPr>
          <w:rFonts w:ascii="Times New Roman" w:eastAsia="Times New Roman" w:hAnsi="Times New Roman" w:cs="Times New Roman"/>
          <w:color w:val="222222"/>
        </w:rPr>
        <w:t xml:space="preserve"> Gond creation myths illustrated by </w:t>
      </w:r>
      <w:proofErr w:type="spellStart"/>
      <w:r>
        <w:rPr>
          <w:rFonts w:ascii="Times New Roman" w:eastAsia="Times New Roman" w:hAnsi="Times New Roman" w:cs="Times New Roman"/>
          <w:color w:val="222222"/>
        </w:rPr>
        <w:t>Bhajju</w:t>
      </w:r>
      <w:proofErr w:type="spellEnd"/>
      <w:r>
        <w:rPr>
          <w:rFonts w:ascii="Times New Roman" w:eastAsia="Times New Roman" w:hAnsi="Times New Roman" w:cs="Times New Roman"/>
          <w:color w:val="222222"/>
        </w:rPr>
        <w:t xml:space="preserve"> Shyam. As a </w:t>
      </w:r>
      <w:proofErr w:type="spellStart"/>
      <w:r>
        <w:rPr>
          <w:rFonts w:ascii="Times New Roman" w:eastAsia="Times New Roman" w:hAnsi="Times New Roman" w:cs="Times New Roman"/>
          <w:color w:val="222222"/>
        </w:rPr>
        <w:t>Pardhan</w:t>
      </w:r>
      <w:proofErr w:type="spellEnd"/>
      <w:r>
        <w:rPr>
          <w:rFonts w:ascii="Times New Roman" w:eastAsia="Times New Roman" w:hAnsi="Times New Roman" w:cs="Times New Roman"/>
          <w:color w:val="222222"/>
        </w:rPr>
        <w:t xml:space="preserve"> bard and practitioner of Gond painting, Shyam embodies a form of Adivasi self-representation that challenges the long-standing outsider narratives imposed by anthropologists, writers, businessmen like </w:t>
      </w:r>
      <w:proofErr w:type="spellStart"/>
      <w:r>
        <w:rPr>
          <w:rFonts w:ascii="Times New Roman" w:eastAsia="Times New Roman" w:hAnsi="Times New Roman" w:cs="Times New Roman"/>
          <w:color w:val="222222"/>
        </w:rPr>
        <w:t>adani</w:t>
      </w:r>
      <w:proofErr w:type="spellEnd"/>
      <w:r>
        <w:rPr>
          <w:rFonts w:ascii="Times New Roman" w:eastAsia="Times New Roman" w:hAnsi="Times New Roman" w:cs="Times New Roman"/>
          <w:color w:val="222222"/>
        </w:rPr>
        <w:t xml:space="preserve"> and publishers, which have historically reinforced primitivist portrayals of tribal identities. However, the act of self-representation unfolds within a collaborative space between Indigenous artists and alternative urban publishers. These </w:t>
      </w:r>
      <w:proofErr w:type="spellStart"/>
      <w:r>
        <w:rPr>
          <w:rFonts w:ascii="Times New Roman" w:eastAsia="Times New Roman" w:hAnsi="Times New Roman" w:cs="Times New Roman"/>
          <w:color w:val="222222"/>
        </w:rPr>
        <w:t>picturebooks</w:t>
      </w:r>
      <w:proofErr w:type="spellEnd"/>
      <w:r>
        <w:rPr>
          <w:rFonts w:ascii="Times New Roman" w:eastAsia="Times New Roman" w:hAnsi="Times New Roman" w:cs="Times New Roman"/>
          <w:color w:val="222222"/>
        </w:rPr>
        <w:t xml:space="preserve">, while providing visibility and platforms for Adivasi voices, are Anglophone, elite, and often inaccessible to the communities they depict. This raises critical questions about the commodification of Adivasi identity and the asymmetries in cultural power. Drawing from literary and visual analysis, along with ethnographic interviews with Adivasi artists, the presentation  interrogated the nature of this alliance. The paper argued that despite these structural tensions, Adivasi artists like </w:t>
      </w:r>
      <w:proofErr w:type="spellStart"/>
      <w:r>
        <w:rPr>
          <w:rFonts w:ascii="Times New Roman" w:eastAsia="Times New Roman" w:hAnsi="Times New Roman" w:cs="Times New Roman"/>
          <w:color w:val="222222"/>
        </w:rPr>
        <w:t>Bhajju</w:t>
      </w:r>
      <w:proofErr w:type="spellEnd"/>
      <w:r>
        <w:rPr>
          <w:rFonts w:ascii="Times New Roman" w:eastAsia="Times New Roman" w:hAnsi="Times New Roman" w:cs="Times New Roman"/>
          <w:color w:val="222222"/>
        </w:rPr>
        <w:t xml:space="preserve"> Shyam find ways to assert creative agency, </w:t>
      </w:r>
      <w:r>
        <w:rPr>
          <w:rFonts w:ascii="Times New Roman" w:eastAsia="Times New Roman" w:hAnsi="Times New Roman" w:cs="Times New Roman"/>
          <w:color w:val="222222"/>
        </w:rPr>
        <w:lastRenderedPageBreak/>
        <w:t xml:space="preserve">complicating the binary of domination and resistance and reframing how we understand Indigenous storytelling in elite literary spaces. “He has to create the way he creates!” </w:t>
      </w:r>
    </w:p>
    <w:p w14:paraId="320F1AB8" w14:textId="77777777" w:rsidR="003934E1" w:rsidRDefault="003934E1">
      <w:pPr>
        <w:spacing w:line="276" w:lineRule="auto"/>
        <w:rPr>
          <w:rFonts w:ascii="Times New Roman" w:eastAsia="Times New Roman" w:hAnsi="Times New Roman" w:cs="Times New Roman"/>
          <w:color w:val="222222"/>
        </w:rPr>
      </w:pPr>
    </w:p>
    <w:p w14:paraId="0880E5E1" w14:textId="77777777" w:rsidR="003934E1" w:rsidRDefault="003934E1">
      <w:pPr>
        <w:spacing w:line="276" w:lineRule="auto"/>
        <w:rPr>
          <w:rFonts w:ascii="Times New Roman" w:eastAsia="Times New Roman" w:hAnsi="Times New Roman" w:cs="Times New Roman"/>
          <w:color w:val="222222"/>
        </w:rPr>
      </w:pPr>
    </w:p>
    <w:p w14:paraId="53FFA4D4" w14:textId="77777777" w:rsidR="003934E1" w:rsidRDefault="00000000">
      <w:pPr>
        <w:spacing w:line="276" w:lineRule="auto"/>
        <w:jc w:val="both"/>
        <w:rPr>
          <w:rFonts w:ascii="Times New Roman" w:eastAsia="Times New Roman" w:hAnsi="Times New Roman" w:cs="Times New Roman"/>
          <w:color w:val="222222"/>
        </w:rPr>
      </w:pPr>
      <w:r>
        <w:rPr>
          <w:rFonts w:ascii="Times New Roman" w:eastAsia="Times New Roman" w:hAnsi="Times New Roman" w:cs="Times New Roman"/>
          <w:b/>
          <w:color w:val="222222"/>
        </w:rPr>
        <w:t>Aishwarya Bhattacharyya</w:t>
      </w:r>
      <w:r>
        <w:rPr>
          <w:rFonts w:ascii="Times New Roman" w:eastAsia="Times New Roman" w:hAnsi="Times New Roman" w:cs="Times New Roman"/>
          <w:color w:val="222222"/>
        </w:rPr>
        <w:t xml:space="preserve"> in her paper titled </w:t>
      </w:r>
      <w:r>
        <w:rPr>
          <w:rFonts w:ascii="Times New Roman" w:eastAsia="Times New Roman" w:hAnsi="Times New Roman" w:cs="Times New Roman"/>
          <w:i/>
          <w:color w:val="222222"/>
        </w:rPr>
        <w:t>“</w:t>
      </w:r>
      <w:r>
        <w:rPr>
          <w:rFonts w:ascii="Times New Roman" w:eastAsia="Times New Roman" w:hAnsi="Times New Roman" w:cs="Times New Roman"/>
          <w:i/>
        </w:rPr>
        <w:t>Indigeneity as Pedagogy: A Case for Reconciliation as Living Ethics”</w:t>
      </w:r>
      <w:r>
        <w:rPr>
          <w:rFonts w:ascii="Times New Roman" w:eastAsia="Times New Roman" w:hAnsi="Times New Roman" w:cs="Times New Roman"/>
          <w:i/>
          <w:color w:val="222222"/>
        </w:rPr>
        <w:t xml:space="preserve"> </w:t>
      </w:r>
      <w:r>
        <w:rPr>
          <w:rFonts w:ascii="Times New Roman" w:eastAsia="Times New Roman" w:hAnsi="Times New Roman" w:cs="Times New Roman"/>
          <w:color w:val="222222"/>
        </w:rPr>
        <w:t xml:space="preserve">argued for </w:t>
      </w:r>
      <w:proofErr w:type="spellStart"/>
      <w:r>
        <w:rPr>
          <w:rFonts w:ascii="Times New Roman" w:eastAsia="Times New Roman" w:hAnsi="Times New Roman" w:cs="Times New Roman"/>
          <w:color w:val="222222"/>
        </w:rPr>
        <w:t>centering</w:t>
      </w:r>
      <w:proofErr w:type="spellEnd"/>
      <w:r>
        <w:rPr>
          <w:rFonts w:ascii="Times New Roman" w:eastAsia="Times New Roman" w:hAnsi="Times New Roman" w:cs="Times New Roman"/>
          <w:color w:val="222222"/>
        </w:rPr>
        <w:t xml:space="preserve"> reconciliation as a foundational, ethical, and ongoing process in all engagements with Indigenous knowledge systems. Rather than treating indigeneity as static content or symbolic inclusion, the work proposed indigeneity as pedagogy, a living, relational framework that calls for listening, unlearning, and mutual accountability. The paper urged a shift toward practices that </w:t>
      </w:r>
      <w:proofErr w:type="spellStart"/>
      <w:r>
        <w:rPr>
          <w:rFonts w:ascii="Times New Roman" w:eastAsia="Times New Roman" w:hAnsi="Times New Roman" w:cs="Times New Roman"/>
          <w:color w:val="222222"/>
        </w:rPr>
        <w:t>honor</w:t>
      </w:r>
      <w:proofErr w:type="spellEnd"/>
      <w:r>
        <w:rPr>
          <w:rFonts w:ascii="Times New Roman" w:eastAsia="Times New Roman" w:hAnsi="Times New Roman" w:cs="Times New Roman"/>
          <w:color w:val="222222"/>
        </w:rPr>
        <w:t xml:space="preserve"> Indigenous presence and worldviews on their own terms. Reconciliation, in this context, is not a final outcome but a continuous, transformative way of being that reshapes pedagogical spaces into sites of ethical engagement and justice. Ms. Bhattacharyya asserts that reconciliation is not abstract policy but a call to rethink relationships, land, learning, and justice. </w:t>
      </w:r>
    </w:p>
    <w:p w14:paraId="11634CC8" w14:textId="77777777" w:rsidR="003934E1" w:rsidRDefault="003934E1">
      <w:pPr>
        <w:spacing w:line="276" w:lineRule="auto"/>
        <w:jc w:val="both"/>
        <w:rPr>
          <w:rFonts w:ascii="Times New Roman" w:eastAsia="Times New Roman" w:hAnsi="Times New Roman" w:cs="Times New Roman"/>
          <w:color w:val="222222"/>
        </w:rPr>
      </w:pPr>
    </w:p>
    <w:p w14:paraId="559B4B61" w14:textId="6ACB53CA" w:rsidR="003934E1" w:rsidRPr="00EB61EF" w:rsidRDefault="00000000">
      <w:pPr>
        <w:spacing w:line="276"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The session closed with comments from the moderator, judges and some meaningful questions from the audience.</w:t>
      </w:r>
    </w:p>
    <w:p w14:paraId="41A7A514" w14:textId="77777777" w:rsidR="003934E1" w:rsidRDefault="003934E1">
      <w:pPr>
        <w:spacing w:line="276" w:lineRule="auto"/>
        <w:rPr>
          <w:rFonts w:ascii="Times New Roman" w:eastAsia="Times New Roman" w:hAnsi="Times New Roman" w:cs="Times New Roman"/>
        </w:rPr>
      </w:pPr>
    </w:p>
    <w:p w14:paraId="5774BCC4" w14:textId="77777777" w:rsidR="003934E1" w:rsidRDefault="00000000">
      <w:pPr>
        <w:spacing w:line="276" w:lineRule="auto"/>
        <w:rPr>
          <w:rFonts w:ascii="Times New Roman" w:eastAsia="Times New Roman" w:hAnsi="Times New Roman" w:cs="Times New Roman"/>
          <w:i/>
        </w:rPr>
      </w:pPr>
      <w:r>
        <w:rPr>
          <w:rFonts w:ascii="Times New Roman" w:eastAsia="Times New Roman" w:hAnsi="Times New Roman" w:cs="Times New Roman"/>
          <w:b/>
        </w:rPr>
        <w:t>Film Screening:</w:t>
      </w:r>
    </w:p>
    <w:p w14:paraId="347A9680" w14:textId="77777777" w:rsidR="003934E1"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i/>
        </w:rPr>
        <w:t>Documentary by Mr. Biju Toppo</w:t>
      </w:r>
      <w:r>
        <w:rPr>
          <w:rFonts w:ascii="Times New Roman" w:eastAsia="Times New Roman" w:hAnsi="Times New Roman" w:cs="Times New Roman"/>
          <w:b/>
        </w:rPr>
        <w:br/>
      </w:r>
      <w:r>
        <w:rPr>
          <w:rFonts w:ascii="Times New Roman" w:eastAsia="Times New Roman" w:hAnsi="Times New Roman" w:cs="Times New Roman"/>
          <w:b/>
          <w:i/>
        </w:rPr>
        <w:t>Moderator: Dr. Gomti Bodra</w:t>
      </w:r>
    </w:p>
    <w:p w14:paraId="5DEC8A89" w14:textId="77777777" w:rsidR="003934E1" w:rsidRDefault="003934E1">
      <w:pPr>
        <w:spacing w:line="276" w:lineRule="auto"/>
        <w:rPr>
          <w:rFonts w:ascii="Times New Roman" w:eastAsia="Times New Roman" w:hAnsi="Times New Roman" w:cs="Times New Roman"/>
        </w:rPr>
      </w:pPr>
    </w:p>
    <w:p w14:paraId="568B8209"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The first day of the seminar concluded with a powerful and unsettling documentary screening directed by</w:t>
      </w:r>
      <w:r>
        <w:rPr>
          <w:rFonts w:ascii="Times New Roman" w:eastAsia="Times New Roman" w:hAnsi="Times New Roman" w:cs="Times New Roman"/>
          <w:b/>
        </w:rPr>
        <w:t xml:space="preserve"> Mr. Biju Toppo</w:t>
      </w:r>
      <w:r>
        <w:rPr>
          <w:rFonts w:ascii="Times New Roman" w:eastAsia="Times New Roman" w:hAnsi="Times New Roman" w:cs="Times New Roman"/>
        </w:rPr>
        <w:t xml:space="preserve">, a filmmaker known for documenting Adivasi lives and resistance from within the community. </w:t>
      </w:r>
    </w:p>
    <w:p w14:paraId="41086C0F" w14:textId="77777777" w:rsidR="003934E1" w:rsidRDefault="003934E1">
      <w:pPr>
        <w:spacing w:line="276" w:lineRule="auto"/>
        <w:jc w:val="both"/>
        <w:rPr>
          <w:rFonts w:ascii="Times New Roman" w:eastAsia="Times New Roman" w:hAnsi="Times New Roman" w:cs="Times New Roman"/>
        </w:rPr>
      </w:pPr>
    </w:p>
    <w:p w14:paraId="7B265EA7"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The documentary was raw, visual, and rooted in the ground realities of tribal regions, particularly in Jharkhand. Through testimonies of villagers, it shed light on widespread police violence, surveillance, and forced displacement. Many residents spoke on camera, and several accounts described instances where people were beaten, arrested without warrants, or killed in fake encounters, with post-mortems marked as “unknown” or “undisclosed.” Villagers explained how simply being Adivasi and living in a remote forest area was enough to be labelled as a Naxalite sympathiser. The film also showed the deep fear that runs through these communities, the fear of the state and its institutions. One sequence followed the aftermath of a police operation where families had to flee their homes overnight. Another focused on mining companies and the dispossession that follows them: land taken without consent, forests razed, livelihoods lost. These are villages that once farmed, hunted, worshipped, and lived in harmony with their environment. Now, they are hollowed out, with younger generations leaving for cities while elders stay behind with what is left. One of the voices featured in the film was human rights activist Himanshu Kumar, who said bluntly, “Every developed nation today has already killed its tribals. India is doing it now.” That line lingered in the room even after the screen went dark.</w:t>
      </w:r>
    </w:p>
    <w:p w14:paraId="0A0A1964" w14:textId="77777777" w:rsidR="003934E1" w:rsidRDefault="003934E1">
      <w:pPr>
        <w:spacing w:line="276" w:lineRule="auto"/>
        <w:jc w:val="both"/>
        <w:rPr>
          <w:rFonts w:ascii="Times New Roman" w:eastAsia="Times New Roman" w:hAnsi="Times New Roman" w:cs="Times New Roman"/>
        </w:rPr>
      </w:pPr>
    </w:p>
    <w:p w14:paraId="407CDA62"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After the screening, </w:t>
      </w:r>
      <w:r>
        <w:rPr>
          <w:rFonts w:ascii="Times New Roman" w:eastAsia="Times New Roman" w:hAnsi="Times New Roman" w:cs="Times New Roman"/>
          <w:b/>
        </w:rPr>
        <w:t>Dr. Gomti Bodra</w:t>
      </w:r>
      <w:r>
        <w:rPr>
          <w:rFonts w:ascii="Times New Roman" w:eastAsia="Times New Roman" w:hAnsi="Times New Roman" w:cs="Times New Roman"/>
        </w:rPr>
        <w:t xml:space="preserve">, the moderator for the screening, opened the floor for questions and reflections. She thanked Mr. Toppo for the documentary and noted that the violence shown in the film is not an aberration, it is systemic. It is in the design of the institutions, in the language used to describe development, in the silence of reports that fail to count or name the dead. Students, faculty, and researchers participated in the discussion that followed. </w:t>
      </w:r>
    </w:p>
    <w:p w14:paraId="10D2BF44" w14:textId="77777777" w:rsidR="003934E1" w:rsidRDefault="003934E1">
      <w:pPr>
        <w:spacing w:line="276" w:lineRule="auto"/>
        <w:jc w:val="both"/>
        <w:rPr>
          <w:rFonts w:ascii="Times New Roman" w:eastAsia="Times New Roman" w:hAnsi="Times New Roman" w:cs="Times New Roman"/>
        </w:rPr>
      </w:pPr>
    </w:p>
    <w:p w14:paraId="00004922" w14:textId="77777777" w:rsidR="003934E1" w:rsidRDefault="003934E1">
      <w:pPr>
        <w:spacing w:line="276" w:lineRule="auto"/>
        <w:jc w:val="both"/>
        <w:rPr>
          <w:rFonts w:ascii="Times New Roman" w:eastAsia="Times New Roman" w:hAnsi="Times New Roman" w:cs="Times New Roman"/>
        </w:rPr>
      </w:pPr>
    </w:p>
    <w:p w14:paraId="26023E06" w14:textId="77777777" w:rsidR="003934E1" w:rsidRDefault="00000000">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Glimpses of the Two- Day National Seminar titled:</w:t>
      </w:r>
    </w:p>
    <w:p w14:paraId="3F122726" w14:textId="77777777" w:rsidR="003934E1" w:rsidRDefault="00000000">
      <w:pPr>
        <w:spacing w:line="276" w:lineRule="auto"/>
        <w:jc w:val="cente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Decolonising Tribal Studies: Life, Legacy and Heritage of Birsa Munda, 1875-1900</w:t>
      </w:r>
    </w:p>
    <w:p w14:paraId="3674C28F" w14:textId="77777777" w:rsidR="003934E1" w:rsidRDefault="003934E1">
      <w:pPr>
        <w:spacing w:line="276" w:lineRule="auto"/>
        <w:jc w:val="center"/>
        <w:rPr>
          <w:rFonts w:ascii="Times New Roman" w:eastAsia="Times New Roman" w:hAnsi="Times New Roman" w:cs="Times New Roman"/>
          <w:b/>
          <w:sz w:val="28"/>
          <w:szCs w:val="28"/>
        </w:rPr>
      </w:pPr>
    </w:p>
    <w:p w14:paraId="3858B50D" w14:textId="77777777" w:rsidR="003934E1" w:rsidRDefault="003934E1">
      <w:pPr>
        <w:spacing w:line="276" w:lineRule="auto"/>
        <w:jc w:val="both"/>
        <w:rPr>
          <w:rFonts w:ascii="Times New Roman" w:eastAsia="Times New Roman" w:hAnsi="Times New Roman" w:cs="Times New Roman"/>
        </w:rPr>
      </w:pPr>
    </w:p>
    <w:p w14:paraId="3E268A0A" w14:textId="77777777" w:rsidR="003934E1" w:rsidRDefault="00000000">
      <w:pPr>
        <w:spacing w:line="276" w:lineRule="auto"/>
        <w:jc w:val="both"/>
        <w:rPr>
          <w:rFonts w:ascii="Times New Roman" w:eastAsia="Times New Roman" w:hAnsi="Times New Roman" w:cs="Times New Roman"/>
          <w:b/>
        </w:rPr>
      </w:pPr>
      <w:r>
        <w:rPr>
          <w:rFonts w:ascii="Times New Roman" w:eastAsia="Times New Roman" w:hAnsi="Times New Roman" w:cs="Times New Roman"/>
          <w:noProof/>
        </w:rPr>
        <w:drawing>
          <wp:inline distT="0" distB="0" distL="0" distR="0" wp14:anchorId="7B7FDC80" wp14:editId="733B0E7C">
            <wp:extent cx="3038766" cy="2025732"/>
            <wp:effectExtent l="0" t="0" r="0" b="0"/>
            <wp:docPr id="181181820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3038766" cy="2025732"/>
                    </a:xfrm>
                    <a:prstGeom prst="rect">
                      <a:avLst/>
                    </a:prstGeom>
                    <a:ln/>
                  </pic:spPr>
                </pic:pic>
              </a:graphicData>
            </a:graphic>
          </wp:inline>
        </w:drawing>
      </w:r>
      <w:r>
        <w:rPr>
          <w:rFonts w:ascii="Times New Roman" w:eastAsia="Times New Roman" w:hAnsi="Times New Roman" w:cs="Times New Roman"/>
          <w:b/>
        </w:rPr>
        <w:t>Figure 1: Introduction to the National Seminar by the Convenors~ Dr Bipasha Rosy Lakra and Dr Juhi Rose Vandana Minz.</w:t>
      </w:r>
    </w:p>
    <w:p w14:paraId="678A8510" w14:textId="77777777" w:rsidR="003934E1" w:rsidRDefault="003934E1">
      <w:pPr>
        <w:spacing w:line="276" w:lineRule="auto"/>
        <w:jc w:val="both"/>
        <w:rPr>
          <w:rFonts w:ascii="Times New Roman" w:eastAsia="Times New Roman" w:hAnsi="Times New Roman" w:cs="Times New Roman"/>
        </w:rPr>
      </w:pPr>
    </w:p>
    <w:p w14:paraId="481F9213" w14:textId="77777777" w:rsidR="003934E1" w:rsidRDefault="003934E1">
      <w:pPr>
        <w:rPr>
          <w:rFonts w:ascii="Times New Roman" w:eastAsia="Times New Roman" w:hAnsi="Times New Roman" w:cs="Times New Roman"/>
        </w:rPr>
      </w:pPr>
    </w:p>
    <w:p w14:paraId="7E33C5E1" w14:textId="77777777" w:rsidR="003934E1" w:rsidRDefault="00000000">
      <w:pPr>
        <w:jc w:val="both"/>
        <w:rPr>
          <w:rFonts w:ascii="Times New Roman" w:eastAsia="Times New Roman" w:hAnsi="Times New Roman" w:cs="Times New Roman"/>
          <w:b/>
        </w:rPr>
      </w:pPr>
      <w:r>
        <w:rPr>
          <w:rFonts w:ascii="Times New Roman" w:eastAsia="Times New Roman" w:hAnsi="Times New Roman" w:cs="Times New Roman"/>
          <w:noProof/>
        </w:rPr>
        <w:drawing>
          <wp:inline distT="0" distB="0" distL="0" distR="0" wp14:anchorId="3BA7B225" wp14:editId="2B69FC1A">
            <wp:extent cx="3131091" cy="2087278"/>
            <wp:effectExtent l="0" t="0" r="0" b="0"/>
            <wp:docPr id="181181820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2"/>
                    <a:srcRect/>
                    <a:stretch>
                      <a:fillRect/>
                    </a:stretch>
                  </pic:blipFill>
                  <pic:spPr>
                    <a:xfrm>
                      <a:off x="0" y="0"/>
                      <a:ext cx="3131091" cy="2087278"/>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b/>
        </w:rPr>
        <w:t>Figure 2: Lighting of the Inaugural Lamp by Prof. (Sr) Molly. K.A. the Principal of Jesus and Mary College(JMC), University of Delhi, along with the Chief Guest Prof. Sona Jharia Minz, Jawaharlal Nehru University.</w:t>
      </w:r>
    </w:p>
    <w:p w14:paraId="233B46EB" w14:textId="77777777" w:rsidR="003934E1" w:rsidRDefault="003934E1">
      <w:pPr>
        <w:jc w:val="both"/>
        <w:rPr>
          <w:rFonts w:ascii="Times New Roman" w:eastAsia="Times New Roman" w:hAnsi="Times New Roman" w:cs="Times New Roman"/>
          <w:b/>
        </w:rPr>
      </w:pPr>
    </w:p>
    <w:p w14:paraId="341C7AB7" w14:textId="77777777" w:rsidR="003934E1" w:rsidRDefault="00000000">
      <w:pPr>
        <w:jc w:val="both"/>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1BF92FF0" wp14:editId="41B0D065">
            <wp:extent cx="3117472" cy="1979604"/>
            <wp:effectExtent l="0" t="0" r="0" b="0"/>
            <wp:docPr id="181181820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3"/>
                    <a:srcRect/>
                    <a:stretch>
                      <a:fillRect/>
                    </a:stretch>
                  </pic:blipFill>
                  <pic:spPr>
                    <a:xfrm>
                      <a:off x="0" y="0"/>
                      <a:ext cx="3117472" cy="1979604"/>
                    </a:xfrm>
                    <a:prstGeom prst="rect">
                      <a:avLst/>
                    </a:prstGeom>
                    <a:ln/>
                  </pic:spPr>
                </pic:pic>
              </a:graphicData>
            </a:graphic>
          </wp:inline>
        </w:drawing>
      </w:r>
      <w:r>
        <w:rPr>
          <w:rFonts w:ascii="Times New Roman" w:eastAsia="Times New Roman" w:hAnsi="Times New Roman" w:cs="Times New Roman"/>
          <w:b/>
        </w:rPr>
        <w:t>Figure 3: Address by the Principal of JMC, DU.</w:t>
      </w:r>
    </w:p>
    <w:p w14:paraId="439C940C" w14:textId="77777777" w:rsidR="003934E1" w:rsidRDefault="00000000">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37379419" wp14:editId="6A396204">
            <wp:extent cx="3124940" cy="2083178"/>
            <wp:effectExtent l="0" t="0" r="0" b="0"/>
            <wp:docPr id="18118182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3124940" cy="2083178"/>
                    </a:xfrm>
                    <a:prstGeom prst="rect">
                      <a:avLst/>
                    </a:prstGeom>
                    <a:ln/>
                  </pic:spPr>
                </pic:pic>
              </a:graphicData>
            </a:graphic>
          </wp:inline>
        </w:drawing>
      </w:r>
      <w:r>
        <w:rPr>
          <w:rFonts w:ascii="Times New Roman" w:eastAsia="Times New Roman" w:hAnsi="Times New Roman" w:cs="Times New Roman"/>
          <w:b/>
        </w:rPr>
        <w:t>Figure 4: Felicitation of the Principal of JMC, DU.</w:t>
      </w:r>
    </w:p>
    <w:p w14:paraId="68E87AD5" w14:textId="77777777" w:rsidR="003934E1" w:rsidRDefault="003934E1">
      <w:pPr>
        <w:jc w:val="both"/>
        <w:rPr>
          <w:rFonts w:ascii="Times New Roman" w:eastAsia="Times New Roman" w:hAnsi="Times New Roman" w:cs="Times New Roman"/>
          <w:b/>
        </w:rPr>
      </w:pPr>
    </w:p>
    <w:p w14:paraId="39BD1B7D" w14:textId="77777777" w:rsidR="003934E1" w:rsidRDefault="00000000">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3672129D" wp14:editId="5140DEBC">
            <wp:extent cx="2765457" cy="3134396"/>
            <wp:effectExtent l="0" t="0" r="0" b="0"/>
            <wp:docPr id="181181820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5"/>
                    <a:srcRect/>
                    <a:stretch>
                      <a:fillRect/>
                    </a:stretch>
                  </pic:blipFill>
                  <pic:spPr>
                    <a:xfrm rot="16200000">
                      <a:off x="0" y="0"/>
                      <a:ext cx="2765457" cy="3134396"/>
                    </a:xfrm>
                    <a:prstGeom prst="rect">
                      <a:avLst/>
                    </a:prstGeom>
                    <a:ln/>
                  </pic:spPr>
                </pic:pic>
              </a:graphicData>
            </a:graphic>
          </wp:inline>
        </w:drawing>
      </w:r>
      <w:r>
        <w:rPr>
          <w:rFonts w:ascii="Times New Roman" w:eastAsia="Times New Roman" w:hAnsi="Times New Roman" w:cs="Times New Roman"/>
          <w:b/>
        </w:rPr>
        <w:t>Figure 5: Speech by the Chief Guest- Prof. Sona Jharia Minz.</w:t>
      </w:r>
    </w:p>
    <w:p w14:paraId="26D469A5" w14:textId="77777777" w:rsidR="003934E1" w:rsidRDefault="003934E1">
      <w:pPr>
        <w:jc w:val="both"/>
        <w:rPr>
          <w:rFonts w:ascii="Times New Roman" w:eastAsia="Times New Roman" w:hAnsi="Times New Roman" w:cs="Times New Roman"/>
          <w:b/>
        </w:rPr>
      </w:pPr>
    </w:p>
    <w:p w14:paraId="3DE5B39C" w14:textId="77777777" w:rsidR="003934E1" w:rsidRDefault="00000000">
      <w:pPr>
        <w:jc w:val="both"/>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40ADB9FF" wp14:editId="63C55476">
            <wp:extent cx="3090402" cy="2060154"/>
            <wp:effectExtent l="0" t="0" r="0" b="0"/>
            <wp:docPr id="1811818212" name="image10.jpg" descr="A group of people sitting at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jpg" descr="A group of people sitting at a table&#10;&#10;AI-generated content may be incorrect."/>
                    <pic:cNvPicPr preferRelativeResize="0"/>
                  </pic:nvPicPr>
                  <pic:blipFill>
                    <a:blip r:embed="rId16"/>
                    <a:srcRect/>
                    <a:stretch>
                      <a:fillRect/>
                    </a:stretch>
                  </pic:blipFill>
                  <pic:spPr>
                    <a:xfrm>
                      <a:off x="0" y="0"/>
                      <a:ext cx="3090402" cy="2060154"/>
                    </a:xfrm>
                    <a:prstGeom prst="rect">
                      <a:avLst/>
                    </a:prstGeom>
                    <a:ln/>
                  </pic:spPr>
                </pic:pic>
              </a:graphicData>
            </a:graphic>
          </wp:inline>
        </w:drawing>
      </w:r>
      <w:r>
        <w:rPr>
          <w:rFonts w:ascii="Times New Roman" w:eastAsia="Times New Roman" w:hAnsi="Times New Roman" w:cs="Times New Roman"/>
          <w:b/>
        </w:rPr>
        <w:t xml:space="preserve">Figure 6: Expert Panel consisting of Prof. Bipin Jojo(TISS, Mumbai); Prof. Joseph Bara(Sussex University); Prof. Virginius </w:t>
      </w:r>
      <w:proofErr w:type="spellStart"/>
      <w:r>
        <w:rPr>
          <w:rFonts w:ascii="Times New Roman" w:eastAsia="Times New Roman" w:hAnsi="Times New Roman" w:cs="Times New Roman"/>
          <w:b/>
        </w:rPr>
        <w:t>Xaxa</w:t>
      </w:r>
      <w:proofErr w:type="spellEnd"/>
      <w:r>
        <w:rPr>
          <w:rFonts w:ascii="Times New Roman" w:eastAsia="Times New Roman" w:hAnsi="Times New Roman" w:cs="Times New Roman"/>
          <w:b/>
        </w:rPr>
        <w:t>(IIHD, Delhi); Dr. Rahul Ranjan(Edinburgh University).</w:t>
      </w:r>
    </w:p>
    <w:p w14:paraId="30284B41" w14:textId="77777777" w:rsidR="003934E1" w:rsidRDefault="003934E1">
      <w:pPr>
        <w:jc w:val="both"/>
        <w:rPr>
          <w:rFonts w:ascii="Times New Roman" w:eastAsia="Times New Roman" w:hAnsi="Times New Roman" w:cs="Times New Roman"/>
          <w:b/>
        </w:rPr>
      </w:pPr>
    </w:p>
    <w:p w14:paraId="14DBBF74" w14:textId="77777777" w:rsidR="003934E1" w:rsidRDefault="00000000">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24461121" wp14:editId="2F0BE5CC">
            <wp:extent cx="3606577" cy="2404252"/>
            <wp:effectExtent l="0" t="0" r="0" b="0"/>
            <wp:docPr id="181181821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7"/>
                    <a:srcRect/>
                    <a:stretch>
                      <a:fillRect/>
                    </a:stretch>
                  </pic:blipFill>
                  <pic:spPr>
                    <a:xfrm>
                      <a:off x="0" y="0"/>
                      <a:ext cx="3606577" cy="2404252"/>
                    </a:xfrm>
                    <a:prstGeom prst="rect">
                      <a:avLst/>
                    </a:prstGeom>
                    <a:ln/>
                  </pic:spPr>
                </pic:pic>
              </a:graphicData>
            </a:graphic>
          </wp:inline>
        </w:drawing>
      </w:r>
      <w:r>
        <w:rPr>
          <w:rFonts w:ascii="Times New Roman" w:eastAsia="Times New Roman" w:hAnsi="Times New Roman" w:cs="Times New Roman"/>
          <w:b/>
        </w:rPr>
        <w:t>Figure 7: Convenors, Expert Panel 1 and the Chief Guest at the conclusion of the session.</w:t>
      </w:r>
    </w:p>
    <w:p w14:paraId="4D4C7984" w14:textId="77777777" w:rsidR="003934E1" w:rsidRDefault="003934E1">
      <w:pPr>
        <w:jc w:val="both"/>
        <w:rPr>
          <w:rFonts w:ascii="Times New Roman" w:eastAsia="Times New Roman" w:hAnsi="Times New Roman" w:cs="Times New Roman"/>
          <w:b/>
        </w:rPr>
      </w:pPr>
    </w:p>
    <w:p w14:paraId="09DE9586" w14:textId="77777777" w:rsidR="003934E1" w:rsidRDefault="003934E1">
      <w:pPr>
        <w:jc w:val="both"/>
        <w:rPr>
          <w:rFonts w:ascii="Times New Roman" w:eastAsia="Times New Roman" w:hAnsi="Times New Roman" w:cs="Times New Roman"/>
          <w:b/>
        </w:rPr>
      </w:pPr>
    </w:p>
    <w:p w14:paraId="3B1ADD9E" w14:textId="77777777" w:rsidR="003934E1" w:rsidRDefault="003934E1">
      <w:pPr>
        <w:jc w:val="both"/>
        <w:rPr>
          <w:rFonts w:ascii="Times New Roman" w:eastAsia="Times New Roman" w:hAnsi="Times New Roman" w:cs="Times New Roman"/>
          <w:b/>
        </w:rPr>
      </w:pPr>
    </w:p>
    <w:p w14:paraId="6C2B0672" w14:textId="45ABEEC7" w:rsidR="003934E1" w:rsidRDefault="00000000">
      <w:pPr>
        <w:jc w:val="both"/>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767B8F89" wp14:editId="7D3E5F18">
            <wp:extent cx="3510731" cy="2633048"/>
            <wp:effectExtent l="0" t="0" r="0" b="0"/>
            <wp:docPr id="1811818213" name="image13.jpg" descr="A person and person sitting at a tab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jpg" descr="A person and person sitting at a table&#10;&#10;AI-generated content may be incorrect."/>
                    <pic:cNvPicPr preferRelativeResize="0"/>
                  </pic:nvPicPr>
                  <pic:blipFill>
                    <a:blip r:embed="rId18"/>
                    <a:srcRect/>
                    <a:stretch>
                      <a:fillRect/>
                    </a:stretch>
                  </pic:blipFill>
                  <pic:spPr>
                    <a:xfrm>
                      <a:off x="0" y="0"/>
                      <a:ext cx="3510731" cy="2633048"/>
                    </a:xfrm>
                    <a:prstGeom prst="rect">
                      <a:avLst/>
                    </a:prstGeom>
                    <a:ln/>
                  </pic:spPr>
                </pic:pic>
              </a:graphicData>
            </a:graphic>
          </wp:inline>
        </w:drawing>
      </w:r>
      <w:r>
        <w:rPr>
          <w:rFonts w:ascii="Times New Roman" w:eastAsia="Times New Roman" w:hAnsi="Times New Roman" w:cs="Times New Roman"/>
          <w:b/>
        </w:rPr>
        <w:t>Figure 8: Mr. Biju Toppo, National Award Winning Filmmaker, after the screening of his film and during the Question and Answer session.</w:t>
      </w:r>
    </w:p>
    <w:p w14:paraId="49A32DAA" w14:textId="48B45623" w:rsidR="003934E1" w:rsidRPr="00EB61EF" w:rsidRDefault="00EB61EF" w:rsidP="00EB61EF">
      <w:pPr>
        <w:jc w:val="center"/>
        <w:rPr>
          <w:rFonts w:ascii="Times New Roman" w:eastAsia="Times New Roman" w:hAnsi="Times New Roman" w:cs="Times New Roman"/>
          <w:b/>
          <w:sz w:val="28"/>
          <w:szCs w:val="28"/>
          <w:u w:val="single"/>
        </w:rPr>
      </w:pPr>
      <w:r w:rsidRPr="00EB61EF">
        <w:rPr>
          <w:rFonts w:ascii="Times New Roman" w:eastAsia="Times New Roman" w:hAnsi="Times New Roman" w:cs="Times New Roman"/>
          <w:b/>
          <w:sz w:val="28"/>
          <w:szCs w:val="28"/>
          <w:u w:val="single"/>
        </w:rPr>
        <w:lastRenderedPageBreak/>
        <w:t>Day 2 of the National Seminar</w:t>
      </w:r>
    </w:p>
    <w:p w14:paraId="141B9BF7" w14:textId="77777777" w:rsidR="003934E1" w:rsidRDefault="003934E1">
      <w:pPr>
        <w:widowControl w:val="0"/>
        <w:spacing w:line="264" w:lineRule="auto"/>
        <w:ind w:right="144"/>
        <w:rPr>
          <w:rFonts w:ascii="Times New Roman" w:eastAsia="Times New Roman" w:hAnsi="Times New Roman" w:cs="Times New Roman"/>
          <w:b/>
        </w:rPr>
      </w:pPr>
    </w:p>
    <w:p w14:paraId="023B17F8" w14:textId="77777777" w:rsidR="003934E1"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Expert Panel 2</w:t>
      </w:r>
    </w:p>
    <w:p w14:paraId="30133247" w14:textId="77777777" w:rsidR="003934E1" w:rsidRDefault="00000000">
      <w:pPr>
        <w:spacing w:line="278" w:lineRule="auto"/>
        <w:rPr>
          <w:rFonts w:ascii="Times New Roman" w:eastAsia="Times New Roman" w:hAnsi="Times New Roman" w:cs="Times New Roman"/>
          <w:b/>
        </w:rPr>
      </w:pPr>
      <w:r>
        <w:rPr>
          <w:rFonts w:ascii="Times New Roman" w:eastAsia="Times New Roman" w:hAnsi="Times New Roman" w:cs="Times New Roman"/>
          <w:b/>
        </w:rPr>
        <w:t>Day 2: 30</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July 2025</w:t>
      </w:r>
      <w:r>
        <w:rPr>
          <w:rFonts w:ascii="Times New Roman" w:eastAsia="Times New Roman" w:hAnsi="Times New Roman" w:cs="Times New Roman"/>
        </w:rPr>
        <w:br/>
      </w:r>
    </w:p>
    <w:p w14:paraId="6B7C9593" w14:textId="77777777" w:rsidR="003934E1"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Venue: Seminar Hall Third Floor</w:t>
      </w:r>
    </w:p>
    <w:p w14:paraId="258319B2" w14:textId="77777777" w:rsidR="003934E1"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Time: 9.30 a.m. - 11:00 a.m.</w:t>
      </w:r>
    </w:p>
    <w:p w14:paraId="317D8DB8" w14:textId="77777777" w:rsidR="003934E1"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Chair/ Moderator: Dr. Rahi Soren</w:t>
      </w:r>
    </w:p>
    <w:p w14:paraId="38B28D55" w14:textId="77777777" w:rsidR="003934E1" w:rsidRDefault="00000000">
      <w:pPr>
        <w:spacing w:line="276" w:lineRule="auto"/>
        <w:rPr>
          <w:rFonts w:ascii="Times New Roman" w:eastAsia="Times New Roman" w:hAnsi="Times New Roman" w:cs="Times New Roman"/>
        </w:rPr>
      </w:pPr>
      <w:proofErr w:type="spellStart"/>
      <w:r>
        <w:rPr>
          <w:rFonts w:ascii="Times New Roman" w:eastAsia="Times New Roman" w:hAnsi="Times New Roman" w:cs="Times New Roman"/>
        </w:rPr>
        <w:t>Panelists</w:t>
      </w:r>
      <w:proofErr w:type="spellEnd"/>
      <w:r>
        <w:rPr>
          <w:rFonts w:ascii="Times New Roman" w:eastAsia="Times New Roman" w:hAnsi="Times New Roman" w:cs="Times New Roman"/>
        </w:rPr>
        <w:t>:</w:t>
      </w:r>
    </w:p>
    <w:p w14:paraId="34E4C647" w14:textId="77777777" w:rsidR="003934E1"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Prof. Bipin Jojo, TISS, Mumbai</w:t>
      </w:r>
    </w:p>
    <w:p w14:paraId="479767CF" w14:textId="77777777" w:rsidR="003934E1"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Dr. Gomati Bodra, Jamia Millia Islamia</w:t>
      </w:r>
    </w:p>
    <w:p w14:paraId="16765E1F" w14:textId="77777777" w:rsidR="003934E1"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Dr. Ayesha Gautam, Delhi University</w:t>
      </w:r>
    </w:p>
    <w:p w14:paraId="560590A5" w14:textId="77777777" w:rsidR="003934E1" w:rsidRDefault="00000000">
      <w:pPr>
        <w:widowControl w:val="0"/>
        <w:spacing w:before="330" w:line="264" w:lineRule="auto"/>
        <w:ind w:right="150"/>
        <w:jc w:val="both"/>
        <w:rPr>
          <w:rFonts w:ascii="Times New Roman" w:eastAsia="Times New Roman" w:hAnsi="Times New Roman" w:cs="Times New Roman"/>
        </w:rPr>
      </w:pPr>
      <w:r>
        <w:rPr>
          <w:rFonts w:ascii="Times New Roman" w:eastAsia="Times New Roman" w:hAnsi="Times New Roman" w:cs="Times New Roman"/>
        </w:rPr>
        <w:t xml:space="preserve">The second day of the conference started with an Expert Panel Session that was chaired by Dr. Rahi Soren. The panel included Prof. Bipin Jojo, Dr. Gomati Bodra and Dr. Ayesha Gautam. The Panel Session started at 9:30 A.M. with the felicitation of the </w:t>
      </w:r>
      <w:proofErr w:type="spellStart"/>
      <w:r>
        <w:rPr>
          <w:rFonts w:ascii="Times New Roman" w:eastAsia="Times New Roman" w:hAnsi="Times New Roman" w:cs="Times New Roman"/>
        </w:rPr>
        <w:t>panelists</w:t>
      </w:r>
      <w:proofErr w:type="spellEnd"/>
      <w:r>
        <w:rPr>
          <w:rFonts w:ascii="Times New Roman" w:eastAsia="Times New Roman" w:hAnsi="Times New Roman" w:cs="Times New Roman"/>
        </w:rPr>
        <w:t xml:space="preserve"> by Dr. Juhi Rose Vandana Minz. After which the moderator, Dr. Rahi Soren commenced the panel by introducing the </w:t>
      </w:r>
      <w:proofErr w:type="spellStart"/>
      <w:r>
        <w:rPr>
          <w:rFonts w:ascii="Times New Roman" w:eastAsia="Times New Roman" w:hAnsi="Times New Roman" w:cs="Times New Roman"/>
        </w:rPr>
        <w:t>panelists</w:t>
      </w:r>
      <w:proofErr w:type="spellEnd"/>
      <w:r>
        <w:rPr>
          <w:rFonts w:ascii="Times New Roman" w:eastAsia="Times New Roman" w:hAnsi="Times New Roman" w:cs="Times New Roman"/>
        </w:rPr>
        <w:t xml:space="preserve"> for the day. The speakers were given instructions of having 25 minutes for their presentations. </w:t>
      </w:r>
    </w:p>
    <w:p w14:paraId="2E8AEB6D" w14:textId="77777777" w:rsidR="003934E1" w:rsidRDefault="003934E1">
      <w:pPr>
        <w:widowControl w:val="0"/>
        <w:spacing w:before="12" w:line="264" w:lineRule="auto"/>
        <w:ind w:right="33"/>
        <w:jc w:val="both"/>
        <w:rPr>
          <w:rFonts w:ascii="Times New Roman" w:eastAsia="Times New Roman" w:hAnsi="Times New Roman" w:cs="Times New Roman"/>
        </w:rPr>
      </w:pPr>
    </w:p>
    <w:p w14:paraId="22767424" w14:textId="77777777" w:rsidR="003934E1" w:rsidRDefault="00000000">
      <w:pPr>
        <w:widowControl w:val="0"/>
        <w:spacing w:before="12" w:line="264" w:lineRule="auto"/>
        <w:ind w:right="33"/>
        <w:jc w:val="both"/>
        <w:rPr>
          <w:rFonts w:ascii="Times New Roman" w:eastAsia="Times New Roman" w:hAnsi="Times New Roman" w:cs="Times New Roman"/>
        </w:rPr>
      </w:pPr>
      <w:r>
        <w:rPr>
          <w:rFonts w:ascii="Times New Roman" w:eastAsia="Times New Roman" w:hAnsi="Times New Roman" w:cs="Times New Roman"/>
          <w:b/>
        </w:rPr>
        <w:t xml:space="preserve">Prof. Bipin Jojo </w:t>
      </w:r>
      <w:r>
        <w:rPr>
          <w:rFonts w:ascii="Times New Roman" w:eastAsia="Times New Roman" w:hAnsi="Times New Roman" w:cs="Times New Roman"/>
        </w:rPr>
        <w:t>commenced the</w:t>
      </w:r>
      <w:r>
        <w:rPr>
          <w:rFonts w:ascii="Times New Roman" w:eastAsia="Times New Roman" w:hAnsi="Times New Roman" w:cs="Times New Roman"/>
          <w:b/>
        </w:rPr>
        <w:t xml:space="preserve"> </w:t>
      </w:r>
      <w:r>
        <w:rPr>
          <w:rFonts w:ascii="Times New Roman" w:eastAsia="Times New Roman" w:hAnsi="Times New Roman" w:cs="Times New Roman"/>
        </w:rPr>
        <w:t xml:space="preserve">panel discussion with his presentation which aimed to discuss what all of us in today’s time and age as a community can draw from the life and legacy of Birsa Munda. Prof. Jojo put forward his views about the idea and meaning of colonization in its true essence, relating it to India and its colonization by the British. He argued that the ideas we have inherited from them, continue to influence all of us as individuals and as a community even today. He pointed out that the main objective of colonization was to destroy the indigenous knowledge system of the country in order to impose their systems of the western knowledge through which they aimed to legitimize the western understanding of the indigenous communities and destroy our existing systems of knowledge in the name of common sense. He further explored the ways in which research has been linked to European Imperialism and Colonialism which only further led to destroying the existing system of indigenous knowledge. He pointed out that much of the research is done in ways wherein each and every step of the process, from the collection of the data to its analysis reflects the western ways showcasing the “new knowledge” on the indigenous, all of which is given to the world by the West, making such studies limited and backward. We now use this western framework to study ourselves reflecting back the ideologies of the west and their understanding of us. </w:t>
      </w:r>
    </w:p>
    <w:p w14:paraId="35523DC1" w14:textId="77777777" w:rsidR="003934E1" w:rsidRDefault="003934E1">
      <w:pPr>
        <w:widowControl w:val="0"/>
        <w:spacing w:before="12" w:line="264" w:lineRule="auto"/>
        <w:ind w:right="33"/>
        <w:jc w:val="both"/>
        <w:rPr>
          <w:rFonts w:ascii="Times New Roman" w:eastAsia="Times New Roman" w:hAnsi="Times New Roman" w:cs="Times New Roman"/>
        </w:rPr>
      </w:pPr>
    </w:p>
    <w:p w14:paraId="2F17E331" w14:textId="77777777" w:rsidR="003934E1" w:rsidRDefault="00000000">
      <w:pPr>
        <w:widowControl w:val="0"/>
        <w:spacing w:before="12" w:line="264" w:lineRule="auto"/>
        <w:ind w:right="33"/>
        <w:jc w:val="both"/>
        <w:rPr>
          <w:rFonts w:ascii="Times New Roman" w:eastAsia="Times New Roman" w:hAnsi="Times New Roman" w:cs="Times New Roman"/>
        </w:rPr>
      </w:pPr>
      <w:r>
        <w:rPr>
          <w:rFonts w:ascii="Times New Roman" w:eastAsia="Times New Roman" w:hAnsi="Times New Roman" w:cs="Times New Roman"/>
        </w:rPr>
        <w:t xml:space="preserve">He also brought to light the world view from which we derive our value system, which is further reflected in our behaviour and relationships with ourselves and others around us. He shed light on the discourse of Tribal Studies which he categorises as: </w:t>
      </w:r>
    </w:p>
    <w:p w14:paraId="42738C9E" w14:textId="77777777" w:rsidR="003934E1" w:rsidRDefault="00000000">
      <w:pPr>
        <w:widowControl w:val="0"/>
        <w:spacing w:before="12"/>
        <w:ind w:left="429"/>
        <w:rPr>
          <w:rFonts w:ascii="Times New Roman" w:eastAsia="Times New Roman" w:hAnsi="Times New Roman" w:cs="Times New Roman"/>
        </w:rPr>
      </w:pPr>
      <w:r>
        <w:rPr>
          <w:rFonts w:ascii="Times New Roman" w:eastAsia="Times New Roman" w:hAnsi="Times New Roman" w:cs="Times New Roman"/>
        </w:rPr>
        <w:t xml:space="preserve">1. Imperialists Perspective Isolation (1873-1935) </w:t>
      </w:r>
    </w:p>
    <w:p w14:paraId="65E65D9E" w14:textId="77777777" w:rsidR="003934E1" w:rsidRDefault="00000000">
      <w:pPr>
        <w:widowControl w:val="0"/>
        <w:spacing w:before="37"/>
        <w:ind w:left="406"/>
        <w:rPr>
          <w:rFonts w:ascii="Times New Roman" w:eastAsia="Times New Roman" w:hAnsi="Times New Roman" w:cs="Times New Roman"/>
        </w:rPr>
      </w:pPr>
      <w:r>
        <w:rPr>
          <w:rFonts w:ascii="Times New Roman" w:eastAsia="Times New Roman" w:hAnsi="Times New Roman" w:cs="Times New Roman"/>
        </w:rPr>
        <w:t xml:space="preserve">2. Nation State Perspective </w:t>
      </w:r>
    </w:p>
    <w:p w14:paraId="51A25688" w14:textId="77777777" w:rsidR="003934E1" w:rsidRDefault="00000000">
      <w:pPr>
        <w:widowControl w:val="0"/>
        <w:spacing w:before="37"/>
        <w:ind w:left="410"/>
        <w:rPr>
          <w:rFonts w:ascii="Times New Roman" w:eastAsia="Times New Roman" w:hAnsi="Times New Roman" w:cs="Times New Roman"/>
        </w:rPr>
      </w:pPr>
      <w:r>
        <w:rPr>
          <w:rFonts w:ascii="Times New Roman" w:eastAsia="Times New Roman" w:hAnsi="Times New Roman" w:cs="Times New Roman"/>
        </w:rPr>
        <w:t xml:space="preserve">3. Tribal Perspective around the world as well as India </w:t>
      </w:r>
    </w:p>
    <w:p w14:paraId="5BDE7AF8" w14:textId="77777777" w:rsidR="003934E1" w:rsidRDefault="00000000">
      <w:pPr>
        <w:widowControl w:val="0"/>
        <w:spacing w:before="37"/>
        <w:jc w:val="both"/>
        <w:rPr>
          <w:rFonts w:ascii="Times New Roman" w:eastAsia="Times New Roman" w:hAnsi="Times New Roman" w:cs="Times New Roman"/>
        </w:rPr>
      </w:pPr>
      <w:r>
        <w:rPr>
          <w:rFonts w:ascii="Times New Roman" w:eastAsia="Times New Roman" w:hAnsi="Times New Roman" w:cs="Times New Roman"/>
        </w:rPr>
        <w:t xml:space="preserve">These perspectives are driven from the positionality or the location of the researcher. It depends on where one locates themselves in terms of tribal studies. Professor Jojo highlighted that when </w:t>
      </w:r>
      <w:r>
        <w:rPr>
          <w:rFonts w:ascii="Times New Roman" w:eastAsia="Times New Roman" w:hAnsi="Times New Roman" w:cs="Times New Roman"/>
        </w:rPr>
        <w:lastRenderedPageBreak/>
        <w:t xml:space="preserve">looking at tribal studies even within the Indian context, one should look for the perspectives of individuals belonging to the tribe which brings in a sense of authenticity to the research. This perspective in turn comes from a context which is dependent on time, person and space. He continued to question the notions of the west, which aim to generalize or homogenize tribal communities and tribal identities, wanting to bring universality to the community. He highlighted very correctly, that no person or community can be the same or universal in terms of their experiences. When it comes to identities, there is no absoluteness but rather they are based on relativeness. Identities cannot be universal, also because they evolved over time with respect to the context of the individuals within which they are based. Professor Jojo highlighted that Birsa Munda in today’s time and age calls us to produce knowledge in order to rewrite our history by talking about the lived experiences of individuals belonging to tribal communities, redefining the self as well as their community with decolonising epistemology and methodology of knowledge. </w:t>
      </w:r>
    </w:p>
    <w:p w14:paraId="01205497" w14:textId="77777777" w:rsidR="003934E1" w:rsidRDefault="003934E1">
      <w:pPr>
        <w:widowControl w:val="0"/>
        <w:spacing w:before="12" w:line="264" w:lineRule="auto"/>
        <w:ind w:left="40" w:right="31" w:firstLine="727"/>
        <w:rPr>
          <w:rFonts w:ascii="Times New Roman" w:eastAsia="Times New Roman" w:hAnsi="Times New Roman" w:cs="Times New Roman"/>
        </w:rPr>
      </w:pPr>
    </w:p>
    <w:p w14:paraId="5059C5D3" w14:textId="77777777" w:rsidR="003934E1" w:rsidRDefault="00000000">
      <w:pPr>
        <w:widowControl w:val="0"/>
        <w:spacing w:before="12" w:line="264" w:lineRule="auto"/>
        <w:ind w:left="40" w:right="31"/>
        <w:jc w:val="both"/>
        <w:rPr>
          <w:rFonts w:ascii="Times New Roman" w:eastAsia="Times New Roman" w:hAnsi="Times New Roman" w:cs="Times New Roman"/>
        </w:rPr>
      </w:pPr>
      <w:r>
        <w:rPr>
          <w:rFonts w:ascii="Times New Roman" w:eastAsia="Times New Roman" w:hAnsi="Times New Roman" w:cs="Times New Roman"/>
        </w:rPr>
        <w:t xml:space="preserve">The above presentation by Professor Bipin Jojo was followed by a Question and Answer Session wherein the attendees were given the opportunity to ask questions leading to a small discussion of the same. The questions for Professor Jojo revolved around the ways in which the change and shift in understanding tribal communities that he talks about can be brought into practice and implemented. Questions around using the right terminology while also respecting and ensuring the inclusion of tribal identities especially in the absence of tribal perspectives were also promptly answered by Professor Jojo. </w:t>
      </w:r>
    </w:p>
    <w:p w14:paraId="1F07067F" w14:textId="77777777" w:rsidR="003934E1" w:rsidRDefault="003934E1">
      <w:pPr>
        <w:widowControl w:val="0"/>
        <w:spacing w:before="12" w:line="264" w:lineRule="auto"/>
        <w:ind w:left="40" w:right="31"/>
        <w:jc w:val="both"/>
        <w:rPr>
          <w:rFonts w:ascii="Times New Roman" w:eastAsia="Times New Roman" w:hAnsi="Times New Roman" w:cs="Times New Roman"/>
        </w:rPr>
      </w:pPr>
    </w:p>
    <w:p w14:paraId="6B910914" w14:textId="77777777" w:rsidR="003934E1" w:rsidRDefault="00000000">
      <w:pPr>
        <w:widowControl w:val="0"/>
        <w:spacing w:before="12" w:line="264" w:lineRule="auto"/>
        <w:ind w:left="40" w:right="31"/>
        <w:jc w:val="both"/>
        <w:rPr>
          <w:rFonts w:ascii="Times New Roman" w:eastAsia="Times New Roman" w:hAnsi="Times New Roman" w:cs="Times New Roman"/>
        </w:rPr>
      </w:pPr>
      <w:r>
        <w:rPr>
          <w:rFonts w:ascii="Times New Roman" w:eastAsia="Times New Roman" w:hAnsi="Times New Roman" w:cs="Times New Roman"/>
        </w:rPr>
        <w:t xml:space="preserve">Following this, Dr Rahi Soren introduced the next </w:t>
      </w:r>
      <w:proofErr w:type="spellStart"/>
      <w:r>
        <w:rPr>
          <w:rFonts w:ascii="Times New Roman" w:eastAsia="Times New Roman" w:hAnsi="Times New Roman" w:cs="Times New Roman"/>
        </w:rPr>
        <w:t>panelist</w:t>
      </w:r>
      <w:proofErr w:type="spellEnd"/>
      <w:r>
        <w:rPr>
          <w:rFonts w:ascii="Times New Roman" w:eastAsia="Times New Roman" w:hAnsi="Times New Roman" w:cs="Times New Roman"/>
        </w:rPr>
        <w:t xml:space="preserve"> for the day.</w:t>
      </w:r>
    </w:p>
    <w:p w14:paraId="36164764" w14:textId="77777777" w:rsidR="003934E1" w:rsidRDefault="00000000">
      <w:pPr>
        <w:widowControl w:val="0"/>
        <w:spacing w:before="354" w:line="264" w:lineRule="auto"/>
        <w:ind w:left="42" w:right="37"/>
        <w:jc w:val="both"/>
        <w:rPr>
          <w:rFonts w:ascii="Times New Roman" w:eastAsia="Times New Roman" w:hAnsi="Times New Roman" w:cs="Times New Roman"/>
        </w:rPr>
      </w:pPr>
      <w:r>
        <w:rPr>
          <w:rFonts w:ascii="Times New Roman" w:eastAsia="Times New Roman" w:hAnsi="Times New Roman" w:cs="Times New Roman"/>
          <w:b/>
        </w:rPr>
        <w:t>Dr Gomti Bodra</w:t>
      </w:r>
      <w:r>
        <w:rPr>
          <w:rFonts w:ascii="Times New Roman" w:eastAsia="Times New Roman" w:hAnsi="Times New Roman" w:cs="Times New Roman"/>
        </w:rPr>
        <w:t xml:space="preserve"> commenced her session by expressing her gratitude to the convenors of the conference, Dr. Bipasha Rosy Lakra and Dr. Juhi Rose Vandana Minz. Following this, she paid her respects to Birsa Munda, the father of the Munda community by singing a folk song praising his sacrifices and the courage he showed for his community as well as for our country, India. Her soulful and melodious singing was further enriched by her detailed explanation of the song and the meaning of each and every word, which made her gesture all the more meaningful. The folk song dedicated to Birsa Munda praises his sacrifices and his courage against British oppression. It illustrates how oral traditions preserve collective memory and identity. This folk song, she explained, functions as an anthem of resistance, bringing to the forefront Adivasi contributions that have long been silenced. While British anthropologists often reduced tribal histories to stereotypes, Dr. Bodra emphasized that the roots of India’s independence struggle can be traced back to Adivasi revolts, such as the uprisings in 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region. For decades these struggles were erased, rendering Adivasi voices invisible, but today they are gradually re-entering the national consciousness, reclaiming their rightful place in history. </w:t>
      </w:r>
    </w:p>
    <w:p w14:paraId="0FBD9C3A" w14:textId="77777777" w:rsidR="003934E1" w:rsidRDefault="003934E1">
      <w:pPr>
        <w:widowControl w:val="0"/>
        <w:spacing w:before="12" w:line="264" w:lineRule="auto"/>
        <w:ind w:right="154"/>
        <w:rPr>
          <w:rFonts w:ascii="Times New Roman" w:eastAsia="Times New Roman" w:hAnsi="Times New Roman" w:cs="Times New Roman"/>
        </w:rPr>
      </w:pPr>
    </w:p>
    <w:p w14:paraId="781F08D3" w14:textId="77777777" w:rsidR="003934E1" w:rsidRDefault="00000000">
      <w:pPr>
        <w:widowControl w:val="0"/>
        <w:spacing w:before="12" w:line="264" w:lineRule="auto"/>
        <w:ind w:right="154"/>
        <w:jc w:val="both"/>
        <w:rPr>
          <w:rFonts w:ascii="Times New Roman" w:eastAsia="Times New Roman" w:hAnsi="Times New Roman" w:cs="Times New Roman"/>
        </w:rPr>
      </w:pPr>
      <w:r>
        <w:rPr>
          <w:rFonts w:ascii="Times New Roman" w:eastAsia="Times New Roman" w:hAnsi="Times New Roman" w:cs="Times New Roman"/>
        </w:rPr>
        <w:t xml:space="preserve">Birsa Munda, she argued, was a visionary leader who sought to revive a community free from exploitation and stratification, grounded in egalitarian values and a holistic worldview. His philosophy integrated lived experience, ecology, and community identity, which stood in stark opposition to the capitalist and extractive worldview imposed by the British. The destruction of forests and habitats- the lifelines of Adivasi existence- sparked resistance, and Birsa responded by organizing his people into new forms of collective struggle. He built fresh </w:t>
      </w:r>
      <w:r>
        <w:rPr>
          <w:rFonts w:ascii="Times New Roman" w:eastAsia="Times New Roman" w:hAnsi="Times New Roman" w:cs="Times New Roman"/>
        </w:rPr>
        <w:lastRenderedPageBreak/>
        <w:t xml:space="preserve">mechanisms of resistance, introduced a new oath, and even developed a religious framework that bound people together with discipline and unity. Significantly, his leadership was inclusive: he encouraged the active participation of women and fostered a sense of adaptation alongside tradition. </w:t>
      </w:r>
    </w:p>
    <w:p w14:paraId="59A289DA" w14:textId="77777777" w:rsidR="003934E1" w:rsidRDefault="003934E1">
      <w:pPr>
        <w:widowControl w:val="0"/>
        <w:spacing w:before="12" w:line="264" w:lineRule="auto"/>
        <w:ind w:left="42" w:right="66" w:firstLine="722"/>
        <w:jc w:val="both"/>
        <w:rPr>
          <w:rFonts w:ascii="Times New Roman" w:eastAsia="Times New Roman" w:hAnsi="Times New Roman" w:cs="Times New Roman"/>
        </w:rPr>
      </w:pPr>
    </w:p>
    <w:p w14:paraId="4B8F4C22" w14:textId="77777777" w:rsidR="003934E1" w:rsidRDefault="00000000">
      <w:pPr>
        <w:widowControl w:val="0"/>
        <w:spacing w:before="12" w:line="264" w:lineRule="auto"/>
        <w:ind w:left="42" w:right="66"/>
        <w:jc w:val="both"/>
        <w:rPr>
          <w:rFonts w:ascii="Times New Roman" w:eastAsia="Times New Roman" w:hAnsi="Times New Roman" w:cs="Times New Roman"/>
        </w:rPr>
      </w:pPr>
      <w:r>
        <w:rPr>
          <w:rFonts w:ascii="Times New Roman" w:eastAsia="Times New Roman" w:hAnsi="Times New Roman" w:cs="Times New Roman"/>
        </w:rPr>
        <w:t xml:space="preserve">Dr. Bodra concluded by situating Birsa’s legacy within a sociological perspective, noting how his leadership mobilized diverse groups and taught them to negotiate with the colonial state. His demand for revitalization, self-determination, and community governance represents not only a moment in history but an enduring model of resistance. By highlighting the egalitarian and ecological vision embedded in Birsa’s philosophy, Dr. Bodra underscored the need to critically engage with Adivasi perspectives- voices that have too often been marginalized but remain central to reimagining justice and freedom in India. </w:t>
      </w:r>
    </w:p>
    <w:p w14:paraId="53688952" w14:textId="77777777" w:rsidR="003934E1" w:rsidRDefault="00000000">
      <w:pPr>
        <w:widowControl w:val="0"/>
        <w:spacing w:before="354" w:line="264" w:lineRule="auto"/>
        <w:ind w:left="49" w:right="807"/>
        <w:rPr>
          <w:rFonts w:ascii="Times New Roman" w:eastAsia="Times New Roman" w:hAnsi="Times New Roman" w:cs="Times New Roman"/>
        </w:rPr>
      </w:pPr>
      <w:r>
        <w:rPr>
          <w:rFonts w:ascii="Times New Roman" w:eastAsia="Times New Roman" w:hAnsi="Times New Roman" w:cs="Times New Roman"/>
        </w:rPr>
        <w:t xml:space="preserve">Following this, Dr Rahi Soren introduced the next </w:t>
      </w:r>
      <w:proofErr w:type="spellStart"/>
      <w:r>
        <w:rPr>
          <w:rFonts w:ascii="Times New Roman" w:eastAsia="Times New Roman" w:hAnsi="Times New Roman" w:cs="Times New Roman"/>
        </w:rPr>
        <w:t>panelist</w:t>
      </w:r>
      <w:proofErr w:type="spellEnd"/>
      <w:r>
        <w:rPr>
          <w:rFonts w:ascii="Times New Roman" w:eastAsia="Times New Roman" w:hAnsi="Times New Roman" w:cs="Times New Roman"/>
        </w:rPr>
        <w:t xml:space="preserve"> for the day, Dr. Gautam. </w:t>
      </w:r>
    </w:p>
    <w:p w14:paraId="6C68E7E0" w14:textId="77777777" w:rsidR="003934E1" w:rsidRDefault="00000000">
      <w:pPr>
        <w:widowControl w:val="0"/>
        <w:spacing w:before="330"/>
        <w:ind w:left="44"/>
        <w:jc w:val="both"/>
        <w:rPr>
          <w:rFonts w:ascii="Times New Roman" w:eastAsia="Times New Roman" w:hAnsi="Times New Roman" w:cs="Times New Roman"/>
        </w:rPr>
      </w:pPr>
      <w:r>
        <w:rPr>
          <w:rFonts w:ascii="Times New Roman" w:eastAsia="Times New Roman" w:hAnsi="Times New Roman" w:cs="Times New Roman"/>
          <w:b/>
        </w:rPr>
        <w:t xml:space="preserve">Dr. Ayesha Gautam, </w:t>
      </w:r>
      <w:r>
        <w:rPr>
          <w:rFonts w:ascii="Times New Roman" w:eastAsia="Times New Roman" w:hAnsi="Times New Roman" w:cs="Times New Roman"/>
        </w:rPr>
        <w:t xml:space="preserve">in her talk </w:t>
      </w:r>
      <w:r>
        <w:rPr>
          <w:rFonts w:ascii="Times New Roman" w:eastAsia="Times New Roman" w:hAnsi="Times New Roman" w:cs="Times New Roman"/>
          <w:i/>
        </w:rPr>
        <w:t>Understanding Tribal Philosophy</w:t>
      </w:r>
      <w:r>
        <w:rPr>
          <w:rFonts w:ascii="Times New Roman" w:eastAsia="Times New Roman" w:hAnsi="Times New Roman" w:cs="Times New Roman"/>
        </w:rPr>
        <w:t xml:space="preserve">, began by acknowledging the convenors and situating her reflections in the life and struggles of Birsa Munda, remembered as </w:t>
      </w:r>
      <w:r>
        <w:rPr>
          <w:rFonts w:ascii="Times New Roman" w:eastAsia="Times New Roman" w:hAnsi="Times New Roman" w:cs="Times New Roman"/>
          <w:i/>
        </w:rPr>
        <w:t>Dharti Abba</w:t>
      </w:r>
      <w:r>
        <w:rPr>
          <w:rFonts w:ascii="Times New Roman" w:eastAsia="Times New Roman" w:hAnsi="Times New Roman" w:cs="Times New Roman"/>
        </w:rPr>
        <w:t xml:space="preserve">. Birsa, she explained, saw himself as the custodian of the tribal community, a role that combined his search for truth with his fight against injustice. Despite limited formal education, Birsa questioned dominant theoretical frameworks and resisted colonial authority, which made him not only a national but also a global hero according to Dr. Gautam.. His early experiences of oppression </w:t>
      </w:r>
      <w:proofErr w:type="spellStart"/>
      <w:r>
        <w:rPr>
          <w:rFonts w:ascii="Times New Roman" w:eastAsia="Times New Roman" w:hAnsi="Times New Roman" w:cs="Times New Roman"/>
        </w:rPr>
        <w:t>fueled</w:t>
      </w:r>
      <w:proofErr w:type="spellEnd"/>
      <w:r>
        <w:rPr>
          <w:rFonts w:ascii="Times New Roman" w:eastAsia="Times New Roman" w:hAnsi="Times New Roman" w:cs="Times New Roman"/>
        </w:rPr>
        <w:t xml:space="preserve"> his desire for resistance, and the British were so unsettled by his influence that they deployed an army to suppress him. For Birsa, reclaiming the community and its </w:t>
      </w:r>
      <w:proofErr w:type="spellStart"/>
      <w:r>
        <w:rPr>
          <w:rFonts w:ascii="Times New Roman" w:eastAsia="Times New Roman" w:hAnsi="Times New Roman" w:cs="Times New Roman"/>
          <w:i/>
        </w:rPr>
        <w:t>zameen</w:t>
      </w:r>
      <w:proofErr w:type="spellEnd"/>
      <w:r>
        <w:rPr>
          <w:rFonts w:ascii="Times New Roman" w:eastAsia="Times New Roman" w:hAnsi="Times New Roman" w:cs="Times New Roman"/>
        </w:rPr>
        <w:t xml:space="preserve">–understood not merely as land but as identity and life itself was central to his philosophy. Dr. Gautam highlighted how the tribal worldview stands apart from imposed authoritarian systems. Adivasis, deeply rooted in freedom and a sense of community, resisted both colonial laws and the erasure of their traditions. Their philosophy, she emphasized, is not </w:t>
      </w:r>
      <w:proofErr w:type="spellStart"/>
      <w:r>
        <w:rPr>
          <w:rFonts w:ascii="Times New Roman" w:eastAsia="Times New Roman" w:hAnsi="Times New Roman" w:cs="Times New Roman"/>
        </w:rPr>
        <w:t>centered</w:t>
      </w:r>
      <w:proofErr w:type="spellEnd"/>
      <w:r>
        <w:rPr>
          <w:rFonts w:ascii="Times New Roman" w:eastAsia="Times New Roman" w:hAnsi="Times New Roman" w:cs="Times New Roman"/>
        </w:rPr>
        <w:t xml:space="preserve"> on the “I” but on the “We,” a perspective grounded in intergenerational justice and a knowledge system that values context over abstraction. Quoting Birsa’s words, </w:t>
      </w:r>
      <w:r>
        <w:rPr>
          <w:rFonts w:ascii="Times New Roman" w:eastAsia="Times New Roman" w:hAnsi="Times New Roman" w:cs="Times New Roman"/>
          <w:i/>
        </w:rPr>
        <w:t xml:space="preserve">“Mai </w:t>
      </w:r>
      <w:proofErr w:type="spellStart"/>
      <w:r>
        <w:rPr>
          <w:rFonts w:ascii="Times New Roman" w:eastAsia="Times New Roman" w:hAnsi="Times New Roman" w:cs="Times New Roman"/>
          <w:i/>
        </w:rPr>
        <w:t>keval</w:t>
      </w:r>
      <w:proofErr w:type="spellEnd"/>
      <w:r>
        <w:rPr>
          <w:rFonts w:ascii="Times New Roman" w:eastAsia="Times New Roman" w:hAnsi="Times New Roman" w:cs="Times New Roman"/>
          <w:i/>
        </w:rPr>
        <w:t xml:space="preserve"> deh </w:t>
      </w:r>
      <w:proofErr w:type="spellStart"/>
      <w:r>
        <w:rPr>
          <w:rFonts w:ascii="Times New Roman" w:eastAsia="Times New Roman" w:hAnsi="Times New Roman" w:cs="Times New Roman"/>
          <w:i/>
        </w:rPr>
        <w:t>nahi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mujhe</w:t>
      </w:r>
      <w:proofErr w:type="spellEnd"/>
      <w:r>
        <w:rPr>
          <w:rFonts w:ascii="Times New Roman" w:eastAsia="Times New Roman" w:hAnsi="Times New Roman" w:cs="Times New Roman"/>
          <w:i/>
        </w:rPr>
        <w:t xml:space="preserve"> koi </w:t>
      </w:r>
      <w:proofErr w:type="spellStart"/>
      <w:r>
        <w:rPr>
          <w:rFonts w:ascii="Times New Roman" w:eastAsia="Times New Roman" w:hAnsi="Times New Roman" w:cs="Times New Roman"/>
          <w:i/>
        </w:rPr>
        <w:t>bhi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jungalo</w:t>
      </w:r>
      <w:proofErr w:type="spellEnd"/>
      <w:r>
        <w:rPr>
          <w:rFonts w:ascii="Times New Roman" w:eastAsia="Times New Roman" w:hAnsi="Times New Roman" w:cs="Times New Roman"/>
          <w:i/>
        </w:rPr>
        <w:t xml:space="preserve"> se </w:t>
      </w:r>
      <w:proofErr w:type="spellStart"/>
      <w:r>
        <w:rPr>
          <w:rFonts w:ascii="Times New Roman" w:eastAsia="Times New Roman" w:hAnsi="Times New Roman" w:cs="Times New Roman"/>
          <w:i/>
        </w:rPr>
        <w:t>bedakhal</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nahi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kar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sakta</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she reminded the audience that tribal resistance is inseparable from their land, culture, and spirit. </w:t>
      </w:r>
    </w:p>
    <w:p w14:paraId="0F947B75" w14:textId="77777777" w:rsidR="003934E1" w:rsidRDefault="003934E1">
      <w:pPr>
        <w:widowControl w:val="0"/>
        <w:spacing w:before="12" w:line="264" w:lineRule="auto"/>
        <w:ind w:left="40" w:right="448" w:firstLine="726"/>
        <w:rPr>
          <w:rFonts w:ascii="Times New Roman" w:eastAsia="Times New Roman" w:hAnsi="Times New Roman" w:cs="Times New Roman"/>
        </w:rPr>
      </w:pPr>
    </w:p>
    <w:p w14:paraId="4E50ED60" w14:textId="77777777" w:rsidR="003934E1" w:rsidRDefault="00000000">
      <w:pPr>
        <w:widowControl w:val="0"/>
        <w:spacing w:before="12" w:line="264" w:lineRule="auto"/>
        <w:ind w:left="40"/>
        <w:jc w:val="both"/>
        <w:rPr>
          <w:rFonts w:ascii="Times New Roman" w:eastAsia="Times New Roman" w:hAnsi="Times New Roman" w:cs="Times New Roman"/>
        </w:rPr>
      </w:pPr>
      <w:r>
        <w:rPr>
          <w:rFonts w:ascii="Times New Roman" w:eastAsia="Times New Roman" w:hAnsi="Times New Roman" w:cs="Times New Roman"/>
        </w:rPr>
        <w:t xml:space="preserve">In the Question-Answer session, Dr. Gautam addressed the persistent marginalization of Adivasis, caught between state forces and insurgent groups, and clarified that tribal movements cannot be confined to Birsa Munda alone. His struggles continue to symbolize ongoing questions of rights over </w:t>
      </w:r>
      <w:proofErr w:type="spellStart"/>
      <w:r>
        <w:rPr>
          <w:rFonts w:ascii="Times New Roman" w:eastAsia="Times New Roman" w:hAnsi="Times New Roman" w:cs="Times New Roman"/>
          <w:i/>
        </w:rPr>
        <w:t>jal</w:t>
      </w:r>
      <w:proofErr w:type="spellEnd"/>
      <w:r>
        <w:rPr>
          <w:rFonts w:ascii="Times New Roman" w:eastAsia="Times New Roman" w:hAnsi="Times New Roman" w:cs="Times New Roman"/>
          <w:i/>
        </w:rPr>
        <w:t xml:space="preserve">, jungle, </w:t>
      </w:r>
      <w:proofErr w:type="spellStart"/>
      <w:r>
        <w:rPr>
          <w:rFonts w:ascii="Times New Roman" w:eastAsia="Times New Roman" w:hAnsi="Times New Roman" w:cs="Times New Roman"/>
          <w:i/>
        </w:rPr>
        <w:t>zameen</w:t>
      </w:r>
      <w:proofErr w:type="spellEnd"/>
      <w:r>
        <w:rPr>
          <w:rFonts w:ascii="Times New Roman" w:eastAsia="Times New Roman" w:hAnsi="Times New Roman" w:cs="Times New Roman"/>
        </w:rPr>
        <w:t xml:space="preserve">—water, forests, and land, that bind Adivasis across generations. The discussion closed with reflections from other </w:t>
      </w:r>
      <w:proofErr w:type="spellStart"/>
      <w:r>
        <w:rPr>
          <w:rFonts w:ascii="Times New Roman" w:eastAsia="Times New Roman" w:hAnsi="Times New Roman" w:cs="Times New Roman"/>
        </w:rPr>
        <w:t>panelists</w:t>
      </w:r>
      <w:proofErr w:type="spellEnd"/>
      <w:r>
        <w:rPr>
          <w:rFonts w:ascii="Times New Roman" w:eastAsia="Times New Roman" w:hAnsi="Times New Roman" w:cs="Times New Roman"/>
        </w:rPr>
        <w:t>, who urged critical engagement with lived tribal experiences and the continuing injustices faced by these communities. Birsa Munda emerges not only as a historical figure but as an enduring symbol of decolonial thought and collective resistance. The session was concluded with a combined interactive Question-Answer session followed by concluding remarks by the convenors.</w:t>
      </w:r>
    </w:p>
    <w:p w14:paraId="11AF6CB8" w14:textId="77777777" w:rsidR="003934E1" w:rsidRDefault="003934E1">
      <w:pPr>
        <w:widowControl w:val="0"/>
        <w:spacing w:before="12" w:line="264" w:lineRule="auto"/>
        <w:ind w:left="40" w:right="448" w:firstLine="726"/>
        <w:jc w:val="both"/>
        <w:rPr>
          <w:rFonts w:ascii="Times New Roman" w:eastAsia="Times New Roman" w:hAnsi="Times New Roman" w:cs="Times New Roman"/>
        </w:rPr>
      </w:pPr>
    </w:p>
    <w:p w14:paraId="11EA9774" w14:textId="77777777" w:rsidR="003934E1" w:rsidRDefault="003934E1">
      <w:pPr>
        <w:widowControl w:val="0"/>
        <w:spacing w:before="12" w:line="264" w:lineRule="auto"/>
        <w:ind w:left="40" w:right="448" w:firstLine="726"/>
        <w:rPr>
          <w:rFonts w:ascii="Times New Roman" w:eastAsia="Times New Roman" w:hAnsi="Times New Roman" w:cs="Times New Roman"/>
        </w:rPr>
      </w:pPr>
    </w:p>
    <w:p w14:paraId="6FC0F0FD" w14:textId="77777777" w:rsidR="003934E1" w:rsidRDefault="00000000">
      <w:pPr>
        <w:widowControl w:val="0"/>
        <w:spacing w:line="264" w:lineRule="auto"/>
        <w:ind w:right="144"/>
        <w:rPr>
          <w:rFonts w:ascii="Times New Roman" w:eastAsia="Times New Roman" w:hAnsi="Times New Roman" w:cs="Times New Roman"/>
          <w:b/>
        </w:rPr>
      </w:pPr>
      <w:r>
        <w:rPr>
          <w:rFonts w:ascii="Times New Roman" w:eastAsia="Times New Roman" w:hAnsi="Times New Roman" w:cs="Times New Roman"/>
          <w:b/>
        </w:rPr>
        <w:t xml:space="preserve">Expert Panel 3 </w:t>
      </w:r>
    </w:p>
    <w:p w14:paraId="57EA0E6C" w14:textId="77777777" w:rsidR="003934E1" w:rsidRDefault="00000000">
      <w:pPr>
        <w:widowControl w:val="0"/>
        <w:spacing w:line="264" w:lineRule="auto"/>
        <w:ind w:right="144"/>
        <w:rPr>
          <w:rFonts w:ascii="Times New Roman" w:eastAsia="Times New Roman" w:hAnsi="Times New Roman" w:cs="Times New Roman"/>
          <w:b/>
        </w:rPr>
      </w:pPr>
      <w:r>
        <w:rPr>
          <w:rFonts w:ascii="Times New Roman" w:eastAsia="Times New Roman" w:hAnsi="Times New Roman" w:cs="Times New Roman"/>
          <w:b/>
        </w:rPr>
        <w:t>Day 2: 30</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July 2025</w:t>
      </w:r>
      <w:r>
        <w:rPr>
          <w:rFonts w:ascii="Times New Roman" w:eastAsia="Times New Roman" w:hAnsi="Times New Roman" w:cs="Times New Roman"/>
        </w:rPr>
        <w:br/>
      </w:r>
    </w:p>
    <w:p w14:paraId="49383075"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lastRenderedPageBreak/>
        <w:t>Venue: Seminar Hall Third Floor</w:t>
      </w:r>
    </w:p>
    <w:p w14:paraId="0BA7CF93"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Time: 11.15 a.m. 12.45 p.m.</w:t>
      </w:r>
    </w:p>
    <w:p w14:paraId="3FD2F06D"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Chair/ Moderator: Dr. Ayesha Gautam</w:t>
      </w:r>
    </w:p>
    <w:p w14:paraId="1A5E5E04" w14:textId="77777777" w:rsidR="003934E1" w:rsidRDefault="00000000">
      <w:pPr>
        <w:rPr>
          <w:rFonts w:ascii="Times New Roman" w:eastAsia="Times New Roman" w:hAnsi="Times New Roman" w:cs="Times New Roman"/>
        </w:rPr>
      </w:pPr>
      <w:proofErr w:type="spellStart"/>
      <w:r>
        <w:rPr>
          <w:rFonts w:ascii="Times New Roman" w:eastAsia="Times New Roman" w:hAnsi="Times New Roman" w:cs="Times New Roman"/>
        </w:rPr>
        <w:t>Panelists</w:t>
      </w:r>
      <w:proofErr w:type="spellEnd"/>
      <w:r>
        <w:rPr>
          <w:rFonts w:ascii="Times New Roman" w:eastAsia="Times New Roman" w:hAnsi="Times New Roman" w:cs="Times New Roman"/>
        </w:rPr>
        <w:t xml:space="preserve">: </w:t>
      </w:r>
    </w:p>
    <w:p w14:paraId="31497FD1"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Dr. Rahi Soren, Jadavpur University</w:t>
      </w:r>
    </w:p>
    <w:p w14:paraId="6BB94FE3"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Dr. </w:t>
      </w:r>
      <w:proofErr w:type="spellStart"/>
      <w:r>
        <w:rPr>
          <w:rFonts w:ascii="Times New Roman" w:eastAsia="Times New Roman" w:hAnsi="Times New Roman" w:cs="Times New Roman"/>
        </w:rPr>
        <w:t>Roluahpuia</w:t>
      </w:r>
      <w:proofErr w:type="spellEnd"/>
      <w:r>
        <w:rPr>
          <w:rFonts w:ascii="Times New Roman" w:eastAsia="Times New Roman" w:hAnsi="Times New Roman" w:cs="Times New Roman"/>
        </w:rPr>
        <w:t>, IIT Roorkee</w:t>
      </w:r>
    </w:p>
    <w:p w14:paraId="3F3AA4EF"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Dr. Deepali </w:t>
      </w:r>
      <w:proofErr w:type="spellStart"/>
      <w:r>
        <w:rPr>
          <w:rFonts w:ascii="Times New Roman" w:eastAsia="Times New Roman" w:hAnsi="Times New Roman" w:cs="Times New Roman"/>
        </w:rPr>
        <w:t>Dungdung</w:t>
      </w:r>
      <w:proofErr w:type="spellEnd"/>
      <w:r>
        <w:rPr>
          <w:rFonts w:ascii="Times New Roman" w:eastAsia="Times New Roman" w:hAnsi="Times New Roman" w:cs="Times New Roman"/>
        </w:rPr>
        <w:t>, Ranchi University</w:t>
      </w:r>
    </w:p>
    <w:p w14:paraId="47D64D33" w14:textId="77777777" w:rsidR="003934E1" w:rsidRDefault="00000000">
      <w:pPr>
        <w:widowControl w:val="0"/>
        <w:spacing w:before="672" w:line="264" w:lineRule="auto"/>
        <w:ind w:right="29"/>
        <w:jc w:val="both"/>
        <w:rPr>
          <w:rFonts w:ascii="Times New Roman" w:eastAsia="Times New Roman" w:hAnsi="Times New Roman" w:cs="Times New Roman"/>
        </w:rPr>
      </w:pPr>
      <w:r>
        <w:rPr>
          <w:rFonts w:ascii="Times New Roman" w:eastAsia="Times New Roman" w:hAnsi="Times New Roman" w:cs="Times New Roman"/>
        </w:rPr>
        <w:t xml:space="preserve">The second session started at 11:30 am with an expert panel consisting of varied eminent scholars and academicians moderated by Dr. Ayesha Gautam. The </w:t>
      </w:r>
      <w:proofErr w:type="spellStart"/>
      <w:r>
        <w:rPr>
          <w:rFonts w:ascii="Times New Roman" w:eastAsia="Times New Roman" w:hAnsi="Times New Roman" w:cs="Times New Roman"/>
        </w:rPr>
        <w:t>panelists</w:t>
      </w:r>
      <w:proofErr w:type="spellEnd"/>
      <w:r>
        <w:rPr>
          <w:rFonts w:ascii="Times New Roman" w:eastAsia="Times New Roman" w:hAnsi="Times New Roman" w:cs="Times New Roman"/>
        </w:rPr>
        <w:t xml:space="preserve"> provided us with intriguing glimpses into the varied perspectives of how tribal studies can be analysed and understood in present contemporary contexts. </w:t>
      </w:r>
    </w:p>
    <w:p w14:paraId="035C7858" w14:textId="77777777" w:rsidR="003934E1" w:rsidRDefault="00000000">
      <w:pPr>
        <w:widowControl w:val="0"/>
        <w:spacing w:before="330" w:line="264" w:lineRule="auto"/>
        <w:ind w:firstLine="3"/>
        <w:jc w:val="both"/>
        <w:rPr>
          <w:rFonts w:ascii="Times New Roman" w:eastAsia="Times New Roman" w:hAnsi="Times New Roman" w:cs="Times New Roman"/>
        </w:rPr>
      </w:pPr>
      <w:r>
        <w:rPr>
          <w:rFonts w:ascii="Times New Roman" w:eastAsia="Times New Roman" w:hAnsi="Times New Roman" w:cs="Times New Roman"/>
          <w:b/>
        </w:rPr>
        <w:t>Dr. Rahi Soren</w:t>
      </w:r>
      <w:r>
        <w:rPr>
          <w:rFonts w:ascii="Times New Roman" w:eastAsia="Times New Roman" w:hAnsi="Times New Roman" w:cs="Times New Roman"/>
        </w:rPr>
        <w:t xml:space="preserve"> presented her work on the topic: “</w:t>
      </w:r>
      <w:proofErr w:type="spellStart"/>
      <w:r>
        <w:rPr>
          <w:rFonts w:ascii="Times New Roman" w:eastAsia="Times New Roman" w:hAnsi="Times New Roman" w:cs="Times New Roman"/>
        </w:rPr>
        <w:t>Purthi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Patham</w:t>
      </w:r>
      <w:proofErr w:type="spellEnd"/>
      <w:r>
        <w:rPr>
          <w:rFonts w:ascii="Times New Roman" w:eastAsia="Times New Roman" w:hAnsi="Times New Roman" w:cs="Times New Roman"/>
        </w:rPr>
        <w:t xml:space="preserve"> Seren </w:t>
      </w:r>
      <w:proofErr w:type="spellStart"/>
      <w:r>
        <w:rPr>
          <w:rFonts w:ascii="Times New Roman" w:eastAsia="Times New Roman" w:hAnsi="Times New Roman" w:cs="Times New Roman"/>
        </w:rPr>
        <w:t>Nagam</w:t>
      </w:r>
      <w:proofErr w:type="spellEnd"/>
      <w:r>
        <w:rPr>
          <w:rFonts w:ascii="Times New Roman" w:eastAsia="Times New Roman" w:hAnsi="Times New Roman" w:cs="Times New Roman"/>
        </w:rPr>
        <w:t xml:space="preserve">: Decolonising Tribal Studies Through Digital Archives”. She talked about how songs and oral traditions can be used as sources to encapsulate the lived experiences of the </w:t>
      </w:r>
      <w:proofErr w:type="spellStart"/>
      <w:r>
        <w:rPr>
          <w:rFonts w:ascii="Times New Roman" w:eastAsia="Times New Roman" w:hAnsi="Times New Roman" w:cs="Times New Roman"/>
        </w:rPr>
        <w:t>adivasi</w:t>
      </w:r>
      <w:proofErr w:type="spellEnd"/>
      <w:r>
        <w:rPr>
          <w:rFonts w:ascii="Times New Roman" w:eastAsia="Times New Roman" w:hAnsi="Times New Roman" w:cs="Times New Roman"/>
        </w:rPr>
        <w:t xml:space="preserve"> people. Archiving also serves as a medium through which we can display tools of narrative against Resistance especially in the tribal context. Despite the importance of the archive, there is an underlying issue of inaccessibility especially in academic circles. To counter these problems, Dr. Soren emphasizes the importance of generating alternative mediums through which the histories and subsequently the lived experiences of tribal communities can be dissected and understood, some of which include usage of archives and digital ethnography. </w:t>
      </w:r>
    </w:p>
    <w:p w14:paraId="0D818124" w14:textId="77777777" w:rsidR="003934E1" w:rsidRDefault="00000000">
      <w:pPr>
        <w:widowControl w:val="0"/>
        <w:spacing w:before="330" w:line="264" w:lineRule="auto"/>
        <w:ind w:right="291" w:firstLine="7"/>
        <w:jc w:val="both"/>
        <w:rPr>
          <w:rFonts w:ascii="Times New Roman" w:eastAsia="Times New Roman" w:hAnsi="Times New Roman" w:cs="Times New Roman"/>
        </w:rPr>
      </w:pPr>
      <w:r>
        <w:rPr>
          <w:rFonts w:ascii="Times New Roman" w:eastAsia="Times New Roman" w:hAnsi="Times New Roman" w:cs="Times New Roman"/>
          <w:b/>
        </w:rPr>
        <w:t xml:space="preserve">Dr </w:t>
      </w:r>
      <w:proofErr w:type="spellStart"/>
      <w:r>
        <w:rPr>
          <w:rFonts w:ascii="Times New Roman" w:eastAsia="Times New Roman" w:hAnsi="Times New Roman" w:cs="Times New Roman"/>
          <w:b/>
        </w:rPr>
        <w:t>Roluahpuia</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brought into focus the contrast between tribal uprising in central India and Northeastern India especially in the Mizo hills. Parallel to this, he also brought forward the continuity of the tribal question in contemporary narratives and the problems associated with silencing and simplifying. He lamented on the romanticisation of the relations tribals have with their land which reduces it to just community based ownership without taking into account the exploitation embedded within land systems. </w:t>
      </w:r>
    </w:p>
    <w:p w14:paraId="3C440C42" w14:textId="77777777" w:rsidR="003934E1" w:rsidRDefault="00000000">
      <w:pPr>
        <w:widowControl w:val="0"/>
        <w:spacing w:before="330" w:line="264" w:lineRule="auto"/>
        <w:ind w:right="62" w:firstLine="7"/>
        <w:jc w:val="both"/>
        <w:rPr>
          <w:rFonts w:ascii="Times New Roman" w:eastAsia="Times New Roman" w:hAnsi="Times New Roman" w:cs="Times New Roman"/>
        </w:rPr>
      </w:pPr>
      <w:r>
        <w:rPr>
          <w:rFonts w:ascii="Times New Roman" w:eastAsia="Times New Roman" w:hAnsi="Times New Roman" w:cs="Times New Roman"/>
          <w:b/>
        </w:rPr>
        <w:t xml:space="preserve">Dr </w:t>
      </w:r>
      <w:proofErr w:type="spellStart"/>
      <w:r>
        <w:rPr>
          <w:rFonts w:ascii="Times New Roman" w:eastAsia="Times New Roman" w:hAnsi="Times New Roman" w:cs="Times New Roman"/>
          <w:b/>
        </w:rPr>
        <w:t>Deeplai</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Dungdung</w:t>
      </w:r>
      <w:proofErr w:type="spellEnd"/>
      <w:r>
        <w:rPr>
          <w:rFonts w:ascii="Times New Roman" w:eastAsia="Times New Roman" w:hAnsi="Times New Roman" w:cs="Times New Roman"/>
        </w:rPr>
        <w:t xml:space="preserve"> the last panellist for the session talked mainly about the concept of decolonisation and tribes in academic discourses. Dr. </w:t>
      </w:r>
      <w:proofErr w:type="spellStart"/>
      <w:r>
        <w:rPr>
          <w:rFonts w:ascii="Times New Roman" w:eastAsia="Times New Roman" w:hAnsi="Times New Roman" w:cs="Times New Roman"/>
        </w:rPr>
        <w:t>Dungdung</w:t>
      </w:r>
      <w:proofErr w:type="spellEnd"/>
      <w:r>
        <w:rPr>
          <w:rFonts w:ascii="Times New Roman" w:eastAsia="Times New Roman" w:hAnsi="Times New Roman" w:cs="Times New Roman"/>
        </w:rPr>
        <w:t xml:space="preserve"> also shed light on the problematic categorisation of tribes in social sciences and what could be the possible way forward to address issues of tribal concern in the process of decolonisation. </w:t>
      </w:r>
    </w:p>
    <w:p w14:paraId="19971313" w14:textId="77777777" w:rsidR="003934E1" w:rsidRDefault="00000000">
      <w:pPr>
        <w:widowControl w:val="0"/>
        <w:spacing w:before="330" w:line="264" w:lineRule="auto"/>
        <w:ind w:right="263" w:firstLine="7"/>
        <w:rPr>
          <w:rFonts w:ascii="Times New Roman" w:eastAsia="Times New Roman" w:hAnsi="Times New Roman" w:cs="Times New Roman"/>
        </w:rPr>
      </w:pPr>
      <w:r>
        <w:rPr>
          <w:rFonts w:ascii="Times New Roman" w:eastAsia="Times New Roman" w:hAnsi="Times New Roman" w:cs="Times New Roman"/>
        </w:rPr>
        <w:t>The session ended with the moderator giving insights on the wonderful and thought-provoking prospects each panellist had to offer.</w:t>
      </w:r>
    </w:p>
    <w:p w14:paraId="53C3843C" w14:textId="77777777" w:rsidR="003934E1" w:rsidRDefault="003934E1">
      <w:pPr>
        <w:widowControl w:val="0"/>
        <w:spacing w:before="330" w:line="264" w:lineRule="auto"/>
        <w:ind w:right="263" w:firstLine="7"/>
        <w:rPr>
          <w:rFonts w:ascii="Times New Roman" w:eastAsia="Times New Roman" w:hAnsi="Times New Roman" w:cs="Times New Roman"/>
        </w:rPr>
      </w:pPr>
    </w:p>
    <w:p w14:paraId="0EB4E4D1" w14:textId="77777777" w:rsidR="003934E1" w:rsidRDefault="00000000">
      <w:pPr>
        <w:spacing w:line="278" w:lineRule="auto"/>
        <w:rPr>
          <w:rFonts w:ascii="Times New Roman" w:eastAsia="Times New Roman" w:hAnsi="Times New Roman" w:cs="Times New Roman"/>
          <w:b/>
        </w:rPr>
      </w:pPr>
      <w:r>
        <w:rPr>
          <w:rFonts w:ascii="Times New Roman" w:eastAsia="Times New Roman" w:hAnsi="Times New Roman" w:cs="Times New Roman"/>
          <w:b/>
        </w:rPr>
        <w:t>Day 2: 30</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July 2025</w:t>
      </w:r>
      <w:r>
        <w:rPr>
          <w:rFonts w:ascii="Times New Roman" w:eastAsia="Times New Roman" w:hAnsi="Times New Roman" w:cs="Times New Roman"/>
        </w:rPr>
        <w:br/>
      </w:r>
    </w:p>
    <w:p w14:paraId="4CBAD26F" w14:textId="77777777" w:rsidR="003934E1" w:rsidRDefault="00000000">
      <w:pPr>
        <w:spacing w:line="278" w:lineRule="auto"/>
        <w:rPr>
          <w:rFonts w:ascii="Times New Roman" w:eastAsia="Times New Roman" w:hAnsi="Times New Roman" w:cs="Times New Roman"/>
          <w:b/>
        </w:rPr>
      </w:pPr>
      <w:r>
        <w:rPr>
          <w:rFonts w:ascii="Times New Roman" w:eastAsia="Times New Roman" w:hAnsi="Times New Roman" w:cs="Times New Roman"/>
          <w:b/>
        </w:rPr>
        <w:t>Technical Session IV: Life, Legacy, and Heritage of Birsa Munda</w:t>
      </w:r>
      <w:r>
        <w:rPr>
          <w:rFonts w:ascii="Times New Roman" w:eastAsia="Times New Roman" w:hAnsi="Times New Roman" w:cs="Times New Roman"/>
        </w:rPr>
        <w:br/>
      </w:r>
    </w:p>
    <w:p w14:paraId="3627C21E" w14:textId="77777777" w:rsidR="003934E1" w:rsidRDefault="00000000">
      <w:pPr>
        <w:spacing w:line="278" w:lineRule="auto"/>
        <w:rPr>
          <w:rFonts w:ascii="Times New Roman" w:eastAsia="Times New Roman" w:hAnsi="Times New Roman" w:cs="Times New Roman"/>
        </w:rPr>
      </w:pPr>
      <w:r>
        <w:rPr>
          <w:rFonts w:ascii="Times New Roman" w:eastAsia="Times New Roman" w:hAnsi="Times New Roman" w:cs="Times New Roman"/>
        </w:rPr>
        <w:t>Moderator: Dr. Maya John</w:t>
      </w:r>
    </w:p>
    <w:p w14:paraId="2E4ED1EA" w14:textId="77777777" w:rsidR="003934E1" w:rsidRDefault="00000000">
      <w:pPr>
        <w:spacing w:line="278" w:lineRule="auto"/>
        <w:rPr>
          <w:rFonts w:ascii="Times New Roman" w:eastAsia="Times New Roman" w:hAnsi="Times New Roman" w:cs="Times New Roman"/>
        </w:rPr>
      </w:pPr>
      <w:r>
        <w:rPr>
          <w:rFonts w:ascii="Times New Roman" w:eastAsia="Times New Roman" w:hAnsi="Times New Roman" w:cs="Times New Roman"/>
        </w:rPr>
        <w:lastRenderedPageBreak/>
        <w:t xml:space="preserve">Judges: Dr. Shantanu </w:t>
      </w:r>
      <w:proofErr w:type="spellStart"/>
      <w:r>
        <w:rPr>
          <w:rFonts w:ascii="Times New Roman" w:eastAsia="Times New Roman" w:hAnsi="Times New Roman" w:cs="Times New Roman"/>
        </w:rPr>
        <w:t>Majee</w:t>
      </w:r>
      <w:proofErr w:type="spellEnd"/>
      <w:r>
        <w:rPr>
          <w:rFonts w:ascii="Times New Roman" w:eastAsia="Times New Roman" w:hAnsi="Times New Roman" w:cs="Times New Roman"/>
        </w:rPr>
        <w:t xml:space="preserve"> and Dr. Jessy K. Philip</w:t>
      </w:r>
    </w:p>
    <w:p w14:paraId="20D7CFC2" w14:textId="77777777" w:rsidR="003934E1" w:rsidRDefault="003934E1">
      <w:pPr>
        <w:spacing w:line="278" w:lineRule="auto"/>
        <w:rPr>
          <w:rFonts w:ascii="Times New Roman" w:eastAsia="Times New Roman" w:hAnsi="Times New Roman" w:cs="Times New Roman"/>
          <w:b/>
        </w:rPr>
      </w:pPr>
    </w:p>
    <w:p w14:paraId="1249FF79" w14:textId="77777777" w:rsidR="003934E1" w:rsidRDefault="00000000">
      <w:pPr>
        <w:spacing w:line="278" w:lineRule="auto"/>
        <w:jc w:val="both"/>
        <w:rPr>
          <w:rFonts w:ascii="Times New Roman" w:eastAsia="Times New Roman" w:hAnsi="Times New Roman" w:cs="Times New Roman"/>
        </w:rPr>
      </w:pPr>
      <w:r>
        <w:rPr>
          <w:rFonts w:ascii="Times New Roman" w:eastAsia="Times New Roman" w:hAnsi="Times New Roman" w:cs="Times New Roman"/>
          <w:b/>
        </w:rPr>
        <w:t>Dr. Maya John</w:t>
      </w:r>
      <w:r>
        <w:rPr>
          <w:rFonts w:ascii="Times New Roman" w:eastAsia="Times New Roman" w:hAnsi="Times New Roman" w:cs="Times New Roman"/>
        </w:rPr>
        <w:t xml:space="preserve"> opened the session by welcoming the audience and introducing the panellists and judges. She reminded everyone that this session was about pushing beyond what we already know about Birsa Munda. She asked the presenters to go deeper, to reflect on how self-rule functioned in these communities, and how colonial frameworks naturalized the Western parliamentary system over time.</w:t>
      </w:r>
    </w:p>
    <w:p w14:paraId="3BDA8F10" w14:textId="77777777" w:rsidR="003934E1" w:rsidRDefault="003934E1">
      <w:pPr>
        <w:spacing w:line="278" w:lineRule="auto"/>
        <w:jc w:val="both"/>
        <w:rPr>
          <w:rFonts w:ascii="Times New Roman" w:eastAsia="Times New Roman" w:hAnsi="Times New Roman" w:cs="Times New Roman"/>
        </w:rPr>
      </w:pPr>
    </w:p>
    <w:p w14:paraId="4AAF24F0" w14:textId="77777777" w:rsidR="003934E1" w:rsidRDefault="00000000">
      <w:pPr>
        <w:spacing w:line="278" w:lineRule="auto"/>
        <w:jc w:val="both"/>
        <w:rPr>
          <w:rFonts w:ascii="Times New Roman" w:eastAsia="Times New Roman" w:hAnsi="Times New Roman" w:cs="Times New Roman"/>
        </w:rPr>
      </w:pPr>
      <w:r>
        <w:rPr>
          <w:rFonts w:ascii="Times New Roman" w:eastAsia="Times New Roman" w:hAnsi="Times New Roman" w:cs="Times New Roman"/>
          <w:b/>
        </w:rPr>
        <w:t>Aditi Tirkey</w:t>
      </w:r>
      <w:r>
        <w:rPr>
          <w:rFonts w:ascii="Times New Roman" w:eastAsia="Times New Roman" w:hAnsi="Times New Roman" w:cs="Times New Roman"/>
        </w:rPr>
        <w:t xml:space="preserve"> was the first presenter. Her paper was titled </w:t>
      </w:r>
      <w:r>
        <w:rPr>
          <w:rFonts w:ascii="Times New Roman" w:eastAsia="Times New Roman" w:hAnsi="Times New Roman" w:cs="Times New Roman"/>
          <w:i/>
        </w:rPr>
        <w:t>“Language and Resistance: The Role of Mundari in Birsa Munda’s Movement.”</w:t>
      </w:r>
      <w:r>
        <w:rPr>
          <w:rFonts w:ascii="Times New Roman" w:eastAsia="Times New Roman" w:hAnsi="Times New Roman" w:cs="Times New Roman"/>
        </w:rPr>
        <w:t xml:space="preserve"> She began by connecting the idea of resistance to language, saying that for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the use of Mundari was both a political act and a cultural one. She talked about how the resistance movement was not just built through speeches or slogans but also through songs, oral tradition, and the everyday use of Mundari. She mentioned the </w:t>
      </w:r>
      <w:proofErr w:type="spellStart"/>
      <w:r>
        <w:rPr>
          <w:rFonts w:ascii="Times New Roman" w:eastAsia="Times New Roman" w:hAnsi="Times New Roman" w:cs="Times New Roman"/>
          <w:i/>
        </w:rPr>
        <w:t>Ulgulan</w:t>
      </w:r>
      <w:proofErr w:type="spellEnd"/>
      <w:r>
        <w:rPr>
          <w:rFonts w:ascii="Times New Roman" w:eastAsia="Times New Roman" w:hAnsi="Times New Roman" w:cs="Times New Roman"/>
        </w:rPr>
        <w:t xml:space="preserve"> movement of 1899 as an example of this, where the songs carried messages of rebellion, dignity, and spiritual legitimacy. These were not just folk songs; they were strategic tools that the British could not easily decode. Aditi traced how colonizers imposed English and Hindi as languages of administration and modernity, punishing children for speaking their native tongues in missionary schools. Through these policies, the state deliberately tried to dismantle indigenous knowledge systems. But Birsa understood the power of culture, and through Mundari songs like </w:t>
      </w:r>
      <w:proofErr w:type="spellStart"/>
      <w:r>
        <w:rPr>
          <w:rFonts w:ascii="Times New Roman" w:eastAsia="Times New Roman" w:hAnsi="Times New Roman" w:cs="Times New Roman"/>
          <w:i/>
        </w:rPr>
        <w:t>ho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geet</w:t>
      </w:r>
      <w:proofErr w:type="spellEnd"/>
      <w:r>
        <w:rPr>
          <w:rFonts w:ascii="Times New Roman" w:eastAsia="Times New Roman" w:hAnsi="Times New Roman" w:cs="Times New Roman"/>
        </w:rPr>
        <w:t>, he reclaimed space for his people. Aditi ended by saying that the struggle for Mundari is still ongoing. Young people are increasingly disconnected from their language, and revitalizing it today means reclaiming a philosophy of life, not just a vocabulary.</w:t>
      </w:r>
    </w:p>
    <w:p w14:paraId="3C28FA02" w14:textId="77777777" w:rsidR="003934E1" w:rsidRDefault="003934E1">
      <w:pPr>
        <w:spacing w:line="278" w:lineRule="auto"/>
        <w:jc w:val="both"/>
        <w:rPr>
          <w:rFonts w:ascii="Times New Roman" w:eastAsia="Times New Roman" w:hAnsi="Times New Roman" w:cs="Times New Roman"/>
          <w:b/>
        </w:rPr>
      </w:pPr>
    </w:p>
    <w:p w14:paraId="0B0BEB02" w14:textId="77777777" w:rsidR="003934E1" w:rsidRDefault="00000000">
      <w:pPr>
        <w:spacing w:line="278" w:lineRule="auto"/>
        <w:jc w:val="both"/>
        <w:rPr>
          <w:rFonts w:ascii="Times New Roman" w:eastAsia="Times New Roman" w:hAnsi="Times New Roman" w:cs="Times New Roman"/>
        </w:rPr>
      </w:pPr>
      <w:r>
        <w:rPr>
          <w:rFonts w:ascii="Times New Roman" w:eastAsia="Times New Roman" w:hAnsi="Times New Roman" w:cs="Times New Roman"/>
          <w:b/>
        </w:rPr>
        <w:t xml:space="preserve">Valentine </w:t>
      </w:r>
      <w:proofErr w:type="spellStart"/>
      <w:r>
        <w:rPr>
          <w:rFonts w:ascii="Times New Roman" w:eastAsia="Times New Roman" w:hAnsi="Times New Roman" w:cs="Times New Roman"/>
          <w:b/>
        </w:rPr>
        <w:t>Sinduria</w:t>
      </w:r>
      <w:proofErr w:type="spellEnd"/>
      <w:r>
        <w:rPr>
          <w:rFonts w:ascii="Times New Roman" w:eastAsia="Times New Roman" w:hAnsi="Times New Roman" w:cs="Times New Roman"/>
        </w:rPr>
        <w:t xml:space="preserve"> followed with his presentation titled </w:t>
      </w:r>
      <w:r>
        <w:rPr>
          <w:rFonts w:ascii="Times New Roman" w:eastAsia="Times New Roman" w:hAnsi="Times New Roman" w:cs="Times New Roman"/>
          <w:i/>
        </w:rPr>
        <w:t xml:space="preserve">“A Critical Analysis of Birsa Munda’s Dream of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Disum –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Raij.”</w:t>
      </w:r>
      <w:r>
        <w:rPr>
          <w:rFonts w:ascii="Times New Roman" w:eastAsia="Times New Roman" w:hAnsi="Times New Roman" w:cs="Times New Roman"/>
        </w:rPr>
        <w:t xml:space="preserve"> He focused on land and memory. His central argument was that the land system in Chhota Nagpur had already begun to unravel long before the British arrived, during the medieval period under feudalism. But colonization intensified this disintegration by introducing the zamindari system and permanently altering land ownership patterns. Valentine explained that the agrarian system was not just about economics, it was about survival, community, and identity. When land was lost, so was belonging. He described how Adivasis resisted the Mughal-era </w:t>
      </w:r>
      <w:proofErr w:type="spellStart"/>
      <w:r>
        <w:rPr>
          <w:rFonts w:ascii="Times New Roman" w:eastAsia="Times New Roman" w:hAnsi="Times New Roman" w:cs="Times New Roman"/>
          <w:i/>
        </w:rPr>
        <w:t>jaagirdars</w:t>
      </w:r>
      <w:proofErr w:type="spellEnd"/>
      <w:r>
        <w:rPr>
          <w:rFonts w:ascii="Times New Roman" w:eastAsia="Times New Roman" w:hAnsi="Times New Roman" w:cs="Times New Roman"/>
        </w:rPr>
        <w:t xml:space="preserve">, and later the British-appointed zamindars, with Birsa Munda emerging as a leader from this agitation. He said that Birsa’s death was not a defeat, it was a victorious end to a life of political assertion. The </w:t>
      </w:r>
      <w:proofErr w:type="spellStart"/>
      <w:r>
        <w:rPr>
          <w:rFonts w:ascii="Times New Roman" w:eastAsia="Times New Roman" w:hAnsi="Times New Roman" w:cs="Times New Roman"/>
        </w:rPr>
        <w:t>Chhotanagpur</w:t>
      </w:r>
      <w:proofErr w:type="spellEnd"/>
      <w:r>
        <w:rPr>
          <w:rFonts w:ascii="Times New Roman" w:eastAsia="Times New Roman" w:hAnsi="Times New Roman" w:cs="Times New Roman"/>
        </w:rPr>
        <w:t xml:space="preserve"> Tenancy (CNT) Act, passed in the early 20th century, was a direct result of his movement. </w:t>
      </w:r>
    </w:p>
    <w:p w14:paraId="63435BC1" w14:textId="77777777" w:rsidR="003934E1" w:rsidRDefault="003934E1">
      <w:pPr>
        <w:spacing w:line="278" w:lineRule="auto"/>
        <w:jc w:val="both"/>
        <w:rPr>
          <w:rFonts w:ascii="Times New Roman" w:eastAsia="Times New Roman" w:hAnsi="Times New Roman" w:cs="Times New Roman"/>
        </w:rPr>
      </w:pPr>
    </w:p>
    <w:p w14:paraId="2A23E583" w14:textId="77777777" w:rsidR="003934E1" w:rsidRDefault="00000000">
      <w:pPr>
        <w:spacing w:line="278" w:lineRule="auto"/>
        <w:jc w:val="both"/>
        <w:rPr>
          <w:rFonts w:ascii="Times New Roman" w:eastAsia="Times New Roman" w:hAnsi="Times New Roman" w:cs="Times New Roman"/>
        </w:rPr>
      </w:pPr>
      <w:r>
        <w:rPr>
          <w:rFonts w:ascii="Times New Roman" w:eastAsia="Times New Roman" w:hAnsi="Times New Roman" w:cs="Times New Roman"/>
          <w:b/>
        </w:rPr>
        <w:t xml:space="preserve">Swati </w:t>
      </w:r>
      <w:proofErr w:type="spellStart"/>
      <w:r>
        <w:rPr>
          <w:rFonts w:ascii="Times New Roman" w:eastAsia="Times New Roman" w:hAnsi="Times New Roman" w:cs="Times New Roman"/>
          <w:b/>
        </w:rPr>
        <w:t>Bijawat</w:t>
      </w:r>
      <w:proofErr w:type="spellEnd"/>
      <w:r>
        <w:rPr>
          <w:rFonts w:ascii="Times New Roman" w:eastAsia="Times New Roman" w:hAnsi="Times New Roman" w:cs="Times New Roman"/>
          <w:b/>
        </w:rPr>
        <w:t xml:space="preserve"> and Preeti </w:t>
      </w:r>
      <w:proofErr w:type="spellStart"/>
      <w:r>
        <w:rPr>
          <w:rFonts w:ascii="Times New Roman" w:eastAsia="Times New Roman" w:hAnsi="Times New Roman" w:cs="Times New Roman"/>
          <w:b/>
        </w:rPr>
        <w:t>Hariyani</w:t>
      </w:r>
      <w:proofErr w:type="spellEnd"/>
      <w:r>
        <w:rPr>
          <w:rFonts w:ascii="Times New Roman" w:eastAsia="Times New Roman" w:hAnsi="Times New Roman" w:cs="Times New Roman"/>
        </w:rPr>
        <w:t xml:space="preserve"> jointly authored their paper titled </w:t>
      </w:r>
      <w:r>
        <w:rPr>
          <w:rFonts w:ascii="Times New Roman" w:eastAsia="Times New Roman" w:hAnsi="Times New Roman" w:cs="Times New Roman"/>
          <w:i/>
        </w:rPr>
        <w:t>“Life, Legacy, and Heritage of Birsa Munda: A Symbol of Tribal Pride, Resistance, and Spiritual Leadership.”</w:t>
      </w:r>
      <w:r>
        <w:rPr>
          <w:rFonts w:ascii="Times New Roman" w:eastAsia="Times New Roman" w:hAnsi="Times New Roman" w:cs="Times New Roman"/>
        </w:rPr>
        <w:t xml:space="preserve"> Preeti began with the idea that Birsa Munda is often remembered in fragments, as a rebel, a folk hero, a freedom fighter. But what is missed, she said, is how his leadership was deeply spiritual. Born in 1875 in what is now Jharkhand, Birsa led the </w:t>
      </w:r>
      <w:proofErr w:type="spellStart"/>
      <w:r>
        <w:rPr>
          <w:rFonts w:ascii="Times New Roman" w:eastAsia="Times New Roman" w:hAnsi="Times New Roman" w:cs="Times New Roman"/>
          <w:i/>
        </w:rPr>
        <w:t>Ulgulan</w:t>
      </w:r>
      <w:proofErr w:type="spellEnd"/>
      <w:r>
        <w:rPr>
          <w:rFonts w:ascii="Times New Roman" w:eastAsia="Times New Roman" w:hAnsi="Times New Roman" w:cs="Times New Roman"/>
        </w:rPr>
        <w:t xml:space="preserve"> movement as a call to awaken, not just against British rule but also against internal decay. He invoked </w:t>
      </w:r>
      <w:r>
        <w:rPr>
          <w:rFonts w:ascii="Times New Roman" w:eastAsia="Times New Roman" w:hAnsi="Times New Roman" w:cs="Times New Roman"/>
          <w:i/>
        </w:rPr>
        <w:t>Dharti Aba,</w:t>
      </w:r>
      <w:r>
        <w:rPr>
          <w:rFonts w:ascii="Times New Roman" w:eastAsia="Times New Roman" w:hAnsi="Times New Roman" w:cs="Times New Roman"/>
        </w:rPr>
        <w:t xml:space="preserve"> meaning Father Earth, as a way to unite communities. His message was simple: protect your </w:t>
      </w:r>
      <w:r>
        <w:rPr>
          <w:rFonts w:ascii="Times New Roman" w:eastAsia="Times New Roman" w:hAnsi="Times New Roman" w:cs="Times New Roman"/>
        </w:rPr>
        <w:lastRenderedPageBreak/>
        <w:t>roots, know your worth, and fight together. Preeti reminded the audience that Birsa’s charisma was not manufactured, it was earned through the trust and belief of his people. They linked his movement to the passage of the CNT Act but also warned against romanticizing the outcome. Exploitation continues. Land alienation has changed forms but not intent. They closed with a quiet but powerful statement: “The soil remembers those who protect it.”</w:t>
      </w:r>
    </w:p>
    <w:p w14:paraId="3E28A9BB" w14:textId="77777777" w:rsidR="003934E1" w:rsidRDefault="003934E1">
      <w:pPr>
        <w:spacing w:line="278" w:lineRule="auto"/>
        <w:rPr>
          <w:rFonts w:ascii="Times New Roman" w:eastAsia="Times New Roman" w:hAnsi="Times New Roman" w:cs="Times New Roman"/>
        </w:rPr>
      </w:pPr>
    </w:p>
    <w:p w14:paraId="39044E4A" w14:textId="77777777" w:rsidR="003934E1" w:rsidRDefault="00000000">
      <w:pPr>
        <w:spacing w:line="278" w:lineRule="auto"/>
        <w:jc w:val="both"/>
        <w:rPr>
          <w:rFonts w:ascii="Times New Roman" w:eastAsia="Times New Roman" w:hAnsi="Times New Roman" w:cs="Times New Roman"/>
        </w:rPr>
      </w:pPr>
      <w:r>
        <w:rPr>
          <w:rFonts w:ascii="Times New Roman" w:eastAsia="Times New Roman" w:hAnsi="Times New Roman" w:cs="Times New Roman"/>
        </w:rPr>
        <w:t xml:space="preserve">The session ended with thoughtful comments from the judges and a few questions from the audience. </w:t>
      </w:r>
    </w:p>
    <w:p w14:paraId="753C412D" w14:textId="77777777" w:rsidR="003934E1" w:rsidRDefault="003934E1">
      <w:pPr>
        <w:spacing w:line="278" w:lineRule="auto"/>
        <w:jc w:val="both"/>
        <w:rPr>
          <w:rFonts w:ascii="Times New Roman" w:eastAsia="Times New Roman" w:hAnsi="Times New Roman" w:cs="Times New Roman"/>
        </w:rPr>
      </w:pPr>
    </w:p>
    <w:p w14:paraId="239D4273" w14:textId="77777777" w:rsidR="003934E1" w:rsidRDefault="003934E1">
      <w:pPr>
        <w:widowControl w:val="0"/>
        <w:spacing w:before="330"/>
        <w:rPr>
          <w:rFonts w:ascii="Arial" w:eastAsia="Arial" w:hAnsi="Arial" w:cs="Arial"/>
          <w:sz w:val="22"/>
          <w:szCs w:val="22"/>
        </w:rPr>
      </w:pPr>
    </w:p>
    <w:p w14:paraId="630B0D38" w14:textId="77777777" w:rsidR="003934E1" w:rsidRDefault="00000000">
      <w:pPr>
        <w:spacing w:line="278" w:lineRule="auto"/>
        <w:rPr>
          <w:rFonts w:ascii="Times New Roman" w:eastAsia="Times New Roman" w:hAnsi="Times New Roman" w:cs="Times New Roman"/>
          <w:b/>
        </w:rPr>
      </w:pPr>
      <w:r>
        <w:rPr>
          <w:rFonts w:ascii="Times New Roman" w:eastAsia="Times New Roman" w:hAnsi="Times New Roman" w:cs="Times New Roman"/>
          <w:b/>
        </w:rPr>
        <w:t>Day 2: 30</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July 2025</w:t>
      </w:r>
      <w:r>
        <w:rPr>
          <w:rFonts w:ascii="Times New Roman" w:eastAsia="Times New Roman" w:hAnsi="Times New Roman" w:cs="Times New Roman"/>
        </w:rPr>
        <w:br/>
      </w:r>
    </w:p>
    <w:p w14:paraId="3A06F636" w14:textId="77777777" w:rsidR="003934E1" w:rsidRDefault="00000000">
      <w:pPr>
        <w:spacing w:line="278" w:lineRule="auto"/>
        <w:rPr>
          <w:rFonts w:ascii="Times New Roman" w:eastAsia="Times New Roman" w:hAnsi="Times New Roman" w:cs="Times New Roman"/>
          <w:b/>
        </w:rPr>
      </w:pPr>
      <w:r>
        <w:rPr>
          <w:rFonts w:ascii="Times New Roman" w:eastAsia="Times New Roman" w:hAnsi="Times New Roman" w:cs="Times New Roman"/>
          <w:b/>
        </w:rPr>
        <w:t>Technical Session V: Contemporary Social Science Research</w:t>
      </w:r>
    </w:p>
    <w:p w14:paraId="3820396E" w14:textId="77777777" w:rsidR="003934E1" w:rsidRDefault="00000000">
      <w:pPr>
        <w:spacing w:line="278" w:lineRule="auto"/>
        <w:rPr>
          <w:rFonts w:ascii="Times New Roman" w:eastAsia="Times New Roman" w:hAnsi="Times New Roman" w:cs="Times New Roman"/>
        </w:rPr>
      </w:pPr>
      <w:r>
        <w:rPr>
          <w:rFonts w:ascii="Times New Roman" w:eastAsia="Times New Roman" w:hAnsi="Times New Roman" w:cs="Times New Roman"/>
        </w:rPr>
        <w:t xml:space="preserve">Moderator: Dr. Deepali </w:t>
      </w:r>
      <w:proofErr w:type="spellStart"/>
      <w:r>
        <w:rPr>
          <w:rFonts w:ascii="Times New Roman" w:eastAsia="Times New Roman" w:hAnsi="Times New Roman" w:cs="Times New Roman"/>
        </w:rPr>
        <w:t>Dungdung</w:t>
      </w:r>
      <w:proofErr w:type="spellEnd"/>
    </w:p>
    <w:p w14:paraId="4747F333" w14:textId="77777777" w:rsidR="003934E1" w:rsidRDefault="00000000">
      <w:pPr>
        <w:spacing w:line="278" w:lineRule="auto"/>
        <w:rPr>
          <w:rFonts w:ascii="Arial" w:eastAsia="Arial" w:hAnsi="Arial" w:cs="Arial"/>
          <w:sz w:val="22"/>
          <w:szCs w:val="22"/>
        </w:rPr>
      </w:pPr>
      <w:r>
        <w:rPr>
          <w:rFonts w:ascii="Times New Roman" w:eastAsia="Times New Roman" w:hAnsi="Times New Roman" w:cs="Times New Roman"/>
        </w:rPr>
        <w:t>Judges:  Dr. Gomti Bodra &amp; Dr. Susan George</w:t>
      </w:r>
    </w:p>
    <w:p w14:paraId="2E49B4E2" w14:textId="77777777" w:rsidR="003934E1" w:rsidRDefault="003934E1">
      <w:pPr>
        <w:spacing w:line="276" w:lineRule="auto"/>
        <w:rPr>
          <w:rFonts w:ascii="Arial" w:eastAsia="Arial" w:hAnsi="Arial" w:cs="Arial"/>
          <w:sz w:val="22"/>
          <w:szCs w:val="22"/>
        </w:rPr>
      </w:pPr>
    </w:p>
    <w:p w14:paraId="5CAD1545"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Technical Session 5 showcased four insightful papers that examined the social, cultural, economic, and political dimensions of tribal and indigenous communities in India. The session highlighted the complex interactions between structural marginalization, cultural traditions, aspirations, and policy frameworks, offering a nuanced understanding of how these communities navigate challenges in contemporary India. Across the presentations, themes such as youth mobilization, cultural appropriation, socio-economic vulnerabilities, and the pivotal role of women in preserving cultural heritage emerged prominently. The session also underscored the methodological and ethical challenges of conducting research in marginalized communities, emphasizing issues of positionality, representation, and the responsibilities of researchers.</w:t>
      </w:r>
    </w:p>
    <w:p w14:paraId="7715E9BB" w14:textId="77777777" w:rsidR="003934E1" w:rsidRDefault="003934E1">
      <w:pPr>
        <w:spacing w:line="276" w:lineRule="auto"/>
        <w:jc w:val="both"/>
        <w:rPr>
          <w:rFonts w:ascii="Times New Roman" w:eastAsia="Times New Roman" w:hAnsi="Times New Roman" w:cs="Times New Roman"/>
        </w:rPr>
      </w:pPr>
    </w:p>
    <w:p w14:paraId="1EB499D4"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 xml:space="preserve">Sahib Singh Tulsi </w:t>
      </w:r>
      <w:r>
        <w:rPr>
          <w:rFonts w:ascii="Times New Roman" w:eastAsia="Times New Roman" w:hAnsi="Times New Roman" w:cs="Times New Roman"/>
        </w:rPr>
        <w:t xml:space="preserve">was the first presenter whose paper titled </w:t>
      </w:r>
      <w:r>
        <w:rPr>
          <w:rFonts w:ascii="Times New Roman" w:eastAsia="Times New Roman" w:hAnsi="Times New Roman" w:cs="Times New Roman"/>
          <w:i/>
        </w:rPr>
        <w:t>“Through Aspirational Horizons: Complexities of Adivasi Youth Mobilization and Social Movement in Bastar”</w:t>
      </w:r>
      <w:r>
        <w:rPr>
          <w:rFonts w:ascii="Times New Roman" w:eastAsia="Times New Roman" w:hAnsi="Times New Roman" w:cs="Times New Roman"/>
        </w:rPr>
        <w:t xml:space="preserve">, focused on the experiences of Adivasi youth in northern Bastar, specifically the </w:t>
      </w:r>
      <w:proofErr w:type="spellStart"/>
      <w:r>
        <w:rPr>
          <w:rFonts w:ascii="Times New Roman" w:eastAsia="Times New Roman" w:hAnsi="Times New Roman" w:cs="Times New Roman"/>
        </w:rPr>
        <w:t>Burwa</w:t>
      </w:r>
      <w:proofErr w:type="spellEnd"/>
      <w:r>
        <w:rPr>
          <w:rFonts w:ascii="Times New Roman" w:eastAsia="Times New Roman" w:hAnsi="Times New Roman" w:cs="Times New Roman"/>
        </w:rPr>
        <w:t xml:space="preserve"> community, a subgroup of the Gondi people. The study employed a critical ethnographic approach, combining participant observation in government schools and hostels with interviews and focus group discussions involving twelve youth, educators, and community leaders. The researcher, a non-Adivasi male from New Delhi affiliated with a Western university, reflected on challenges of positionality and ethnographic authority while engaging with the community. The study revealed that Adivasi youth are increasingly motivated by aspirations for upward mobility through careers in nursing, teaching, vocational training, and security services. These aspirations often necessitate education away from villages, particularly in hostels, which reduces participation in agriculture, cultural rituals, and intergenerational knowledge transfer. Consequently, youth find themselves negotiating between survival and activism, with structural economic marginality shaping their engagement with social movements. The paper concluded by emphasizing the heterogeneity within Adivasi communities and the importance </w:t>
      </w:r>
      <w:r>
        <w:rPr>
          <w:rFonts w:ascii="Times New Roman" w:eastAsia="Times New Roman" w:hAnsi="Times New Roman" w:cs="Times New Roman"/>
        </w:rPr>
        <w:lastRenderedPageBreak/>
        <w:t>of understanding how gender, ethnicity, and state structures influence youth mobilization, collective identity, and cultural continuity.</w:t>
      </w:r>
    </w:p>
    <w:p w14:paraId="117E2D44" w14:textId="77777777" w:rsidR="003934E1" w:rsidRDefault="003934E1">
      <w:pPr>
        <w:spacing w:line="276" w:lineRule="auto"/>
        <w:jc w:val="both"/>
        <w:rPr>
          <w:rFonts w:ascii="Times New Roman" w:eastAsia="Times New Roman" w:hAnsi="Times New Roman" w:cs="Times New Roman"/>
        </w:rPr>
      </w:pPr>
    </w:p>
    <w:p w14:paraId="309B359D"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Himanshu Shukla’s</w:t>
      </w:r>
      <w:r>
        <w:rPr>
          <w:rFonts w:ascii="Times New Roman" w:eastAsia="Times New Roman" w:hAnsi="Times New Roman" w:cs="Times New Roman"/>
        </w:rPr>
        <w:t xml:space="preserve"> paper </w:t>
      </w:r>
      <w:r>
        <w:rPr>
          <w:rFonts w:ascii="Times New Roman" w:eastAsia="Times New Roman" w:hAnsi="Times New Roman" w:cs="Times New Roman"/>
          <w:i/>
        </w:rPr>
        <w:t>“Tribal Memorialisation and Hindu Nationalism: RSS’s Appropriative Iconography of Birsa Munda”</w:t>
      </w:r>
      <w:r>
        <w:rPr>
          <w:rFonts w:ascii="Times New Roman" w:eastAsia="Times New Roman" w:hAnsi="Times New Roman" w:cs="Times New Roman"/>
        </w:rPr>
        <w:t xml:space="preserve">, explored the process of Hinduization among Adivasi communities, focusing on the strategic appropriation of the historical figure Birsa Munda by organizations such as the </w:t>
      </w:r>
      <w:proofErr w:type="spellStart"/>
      <w:r>
        <w:rPr>
          <w:rFonts w:ascii="Times New Roman" w:eastAsia="Times New Roman" w:hAnsi="Times New Roman" w:cs="Times New Roman"/>
        </w:rPr>
        <w:t>Vanvasi</w:t>
      </w:r>
      <w:proofErr w:type="spellEnd"/>
      <w:r>
        <w:rPr>
          <w:rFonts w:ascii="Times New Roman" w:eastAsia="Times New Roman" w:hAnsi="Times New Roman" w:cs="Times New Roman"/>
        </w:rPr>
        <w:t xml:space="preserve"> Kalyan Ashram (VKA), an affiliate of the </w:t>
      </w:r>
      <w:proofErr w:type="spellStart"/>
      <w:r>
        <w:rPr>
          <w:rFonts w:ascii="Times New Roman" w:eastAsia="Times New Roman" w:hAnsi="Times New Roman" w:cs="Times New Roman"/>
        </w:rPr>
        <w:t>Rashtriya</w:t>
      </w:r>
      <w:proofErr w:type="spellEnd"/>
      <w:r>
        <w:rPr>
          <w:rFonts w:ascii="Times New Roman" w:eastAsia="Times New Roman" w:hAnsi="Times New Roman" w:cs="Times New Roman"/>
        </w:rPr>
        <w:t xml:space="preserve"> Swayamsevak Sangh (RSS). Birsa Munda, a tribal leader and symbol of anti-colonial resistance, has been reinterpreted in contemporary narratives as a </w:t>
      </w:r>
      <w:proofErr w:type="spellStart"/>
      <w:r>
        <w:rPr>
          <w:rFonts w:ascii="Times New Roman" w:eastAsia="Times New Roman" w:hAnsi="Times New Roman" w:cs="Times New Roman"/>
        </w:rPr>
        <w:t>dharm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yodha</w:t>
      </w:r>
      <w:proofErr w:type="spellEnd"/>
      <w:r>
        <w:rPr>
          <w:rFonts w:ascii="Times New Roman" w:eastAsia="Times New Roman" w:hAnsi="Times New Roman" w:cs="Times New Roman"/>
        </w:rPr>
        <w:t xml:space="preserve"> or defender of Hinduism, with selective emphasis on aspects of his life that align with Hindu nationalist ideals, such as abstinence from alcohol, vegetarianism, and moral reform. The paper highlighted three case studies: the 2025 </w:t>
      </w:r>
      <w:proofErr w:type="spellStart"/>
      <w:r>
        <w:rPr>
          <w:rFonts w:ascii="Times New Roman" w:eastAsia="Times New Roman" w:hAnsi="Times New Roman" w:cs="Times New Roman"/>
        </w:rPr>
        <w:t>Mahakumbh</w:t>
      </w:r>
      <w:proofErr w:type="spellEnd"/>
      <w:r>
        <w:rPr>
          <w:rFonts w:ascii="Times New Roman" w:eastAsia="Times New Roman" w:hAnsi="Times New Roman" w:cs="Times New Roman"/>
        </w:rPr>
        <w:t xml:space="preserve"> tribal camp in Prayagraj, where Birsa’s portrait and culturally curated displays linked tribal identity to Hindu pilgrimage and civilization; the use of statue politics and memorialization, including the renaming of Sarai Kale Khan to Birsa Munda Chowk, which reframed his struggle as a civilizational resistance against conversion; and electoral mobilization in Jharkhand, where invoking Birsa’s image mobilized tribal identity while redirecting hostility toward Muslims as “outsiders.” The study argued that such selective appropriation marginalizes Birsa’s original struggle for tribal autonomy, effectively recasting historical anti-colonial resistance in service of contemporary political and cultural agendas, reinforcing Hindutva narratives in tribal regions.</w:t>
      </w:r>
    </w:p>
    <w:p w14:paraId="4D648C72" w14:textId="77777777" w:rsidR="003934E1" w:rsidRDefault="003934E1">
      <w:pPr>
        <w:spacing w:line="276" w:lineRule="auto"/>
        <w:jc w:val="both"/>
        <w:rPr>
          <w:rFonts w:ascii="Times New Roman" w:eastAsia="Times New Roman" w:hAnsi="Times New Roman" w:cs="Times New Roman"/>
        </w:rPr>
      </w:pPr>
    </w:p>
    <w:p w14:paraId="256CC509"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b/>
        </w:rPr>
        <w:t>Hephzibah B. John</w:t>
      </w:r>
      <w:r>
        <w:rPr>
          <w:rFonts w:ascii="Times New Roman" w:eastAsia="Times New Roman" w:hAnsi="Times New Roman" w:cs="Times New Roman"/>
        </w:rPr>
        <w:t xml:space="preserve">, in her paper titled </w:t>
      </w:r>
      <w:r>
        <w:rPr>
          <w:rFonts w:ascii="Times New Roman" w:eastAsia="Times New Roman" w:hAnsi="Times New Roman" w:cs="Times New Roman"/>
          <w:i/>
          <w:color w:val="222222"/>
          <w:highlight w:val="white"/>
        </w:rPr>
        <w:t xml:space="preserve">"The Journey of </w:t>
      </w:r>
      <w:proofErr w:type="spellStart"/>
      <w:r>
        <w:rPr>
          <w:rFonts w:ascii="Times New Roman" w:eastAsia="Times New Roman" w:hAnsi="Times New Roman" w:cs="Times New Roman"/>
          <w:i/>
          <w:color w:val="222222"/>
          <w:highlight w:val="white"/>
        </w:rPr>
        <w:t>Sahariya</w:t>
      </w:r>
      <w:proofErr w:type="spellEnd"/>
      <w:r>
        <w:rPr>
          <w:rFonts w:ascii="Times New Roman" w:eastAsia="Times New Roman" w:hAnsi="Times New Roman" w:cs="Times New Roman"/>
          <w:i/>
          <w:color w:val="222222"/>
          <w:highlight w:val="white"/>
        </w:rPr>
        <w:t xml:space="preserve"> Tribes: Socio-Economic Conditions, Policy Effectiveness, and Cultural Resilience"</w:t>
      </w:r>
      <w:r>
        <w:rPr>
          <w:rFonts w:ascii="Times New Roman" w:eastAsia="Times New Roman" w:hAnsi="Times New Roman" w:cs="Times New Roman"/>
          <w:color w:val="222222"/>
          <w:highlight w:val="white"/>
        </w:rPr>
        <w:t xml:space="preserve"> </w:t>
      </w:r>
      <w:r>
        <w:rPr>
          <w:rFonts w:ascii="Times New Roman" w:eastAsia="Times New Roman" w:hAnsi="Times New Roman" w:cs="Times New Roman"/>
        </w:rPr>
        <w:t xml:space="preserve">examined the socio-economic vulnerabilities of 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tribe in Madhya Pradesh, one of the state’s three Particularly Vulnerable Tribal Groups (PVTGs). Concentrated in the districts of Shivpuri, Morena, Guna, and Datia, the </w:t>
      </w:r>
      <w:proofErr w:type="spellStart"/>
      <w:r>
        <w:rPr>
          <w:rFonts w:ascii="Times New Roman" w:eastAsia="Times New Roman" w:hAnsi="Times New Roman" w:cs="Times New Roman"/>
        </w:rPr>
        <w:t>Sahariyas</w:t>
      </w:r>
      <w:proofErr w:type="spellEnd"/>
      <w:r>
        <w:rPr>
          <w:rFonts w:ascii="Times New Roman" w:eastAsia="Times New Roman" w:hAnsi="Times New Roman" w:cs="Times New Roman"/>
        </w:rPr>
        <w:t xml:space="preserve"> have historically depended on forest-based livelihoods, including collecting tendu leaves, honey, mahua, and medicinal herbs, alongside agriculture and wage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Despite these efforts, the community continues to experience chronic poverty, seasonal migration, high illiteracy, undernutrition, and health challenges such as tuberculosis. Using a mixed-methods approach with surveys of 400 households, interviews, and analysis of administrative records, the study documented average household incomes of only ₹4,750 per month, with 60% of households surviving on less than ₹5,000. Over half of the households were landless, increasing dependence on insecure wage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and forest resources. Literacy was low at 40%, with women disproportionately disadvantaged. Health outcomes were alarming: nearly half of men and over one-third of women exhibited low body mass index, reflecting chronic undernutrition, while tuberculosis was a significant public health threat. Welfare schemes such as MNREGA offered some relief, but delayed payments, bureaucratic hurdles, and poor access to services limited effectiveness. The study recommended targeted interventions including mobile TB clinics, health literacy programs, enhanced access to welfare schemes, formalization of forest-based cooperatives, engagement with traditional councils, and initiatives for women’s education and empowerment. These measures were framed as essential for addressing entrenched socio-economic and health inequalities and promoting sustainable livelihoods.</w:t>
      </w:r>
    </w:p>
    <w:p w14:paraId="58CFB905" w14:textId="77777777" w:rsidR="003934E1" w:rsidRDefault="003934E1">
      <w:pPr>
        <w:spacing w:line="276" w:lineRule="auto"/>
        <w:jc w:val="both"/>
        <w:rPr>
          <w:rFonts w:ascii="Times New Roman" w:eastAsia="Times New Roman" w:hAnsi="Times New Roman" w:cs="Times New Roman"/>
        </w:rPr>
      </w:pPr>
    </w:p>
    <w:p w14:paraId="33F9CAFC"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fourth presenter </w:t>
      </w:r>
      <w:r>
        <w:rPr>
          <w:rFonts w:ascii="Times New Roman" w:eastAsia="Times New Roman" w:hAnsi="Times New Roman" w:cs="Times New Roman"/>
          <w:b/>
        </w:rPr>
        <w:t>Sanghamitra R. Verman</w:t>
      </w:r>
      <w:r>
        <w:rPr>
          <w:rFonts w:ascii="Times New Roman" w:eastAsia="Times New Roman" w:hAnsi="Times New Roman" w:cs="Times New Roman"/>
        </w:rPr>
        <w:t xml:space="preserve">, in her paper titled </w:t>
      </w:r>
      <w:r>
        <w:rPr>
          <w:rFonts w:ascii="Times New Roman" w:eastAsia="Times New Roman" w:hAnsi="Times New Roman" w:cs="Times New Roman"/>
          <w:i/>
        </w:rPr>
        <w:t>“</w:t>
      </w:r>
      <w:r>
        <w:rPr>
          <w:rFonts w:ascii="Arial" w:eastAsia="Arial" w:hAnsi="Arial" w:cs="Arial"/>
          <w:i/>
          <w:color w:val="222222"/>
          <w:sz w:val="22"/>
          <w:szCs w:val="22"/>
          <w:highlight w:val="white"/>
        </w:rPr>
        <w:t>Indigenous women weaver of Northeast India: Custodian of Tradition and Culture”</w:t>
      </w:r>
      <w:r>
        <w:rPr>
          <w:rFonts w:ascii="Times New Roman" w:eastAsia="Times New Roman" w:hAnsi="Times New Roman" w:cs="Times New Roman"/>
        </w:rPr>
        <w:t xml:space="preserve"> , highlighted the central role of indigenous women in preserving textile traditions across North-East India. Titled Indigenous Women Weavers of North-East India: Custodians of Tradition and Culture, the study emphasized how women act as both producers and custodians of cultural heritage, ensuring continuity of identity, ritual practices, and ecological knowledge. Textiles such as Ao Naga shawls, historically associated with tribal chiefs or </w:t>
      </w:r>
      <w:proofErr w:type="spellStart"/>
      <w:r>
        <w:rPr>
          <w:rFonts w:ascii="Times New Roman" w:eastAsia="Times New Roman" w:hAnsi="Times New Roman" w:cs="Times New Roman"/>
        </w:rPr>
        <w:t>headhunters</w:t>
      </w:r>
      <w:proofErr w:type="spellEnd"/>
      <w:r>
        <w:rPr>
          <w:rFonts w:ascii="Times New Roman" w:eastAsia="Times New Roman" w:hAnsi="Times New Roman" w:cs="Times New Roman"/>
        </w:rPr>
        <w:t>, carry rich symbolic meaning, with motifs representing ritual sacrifices, social status, and community identity. Unlike most of India, where weaving is predominantly male-dominated, in North-East India it is largely a women’s craft, highlighting the critical role of women in sustaining cultural traditions. The study traced the antiquity of weaving to the Harappan civilization, drawing connections to similar practices in other cultures, and demonstrated how spiritual, social, and ecological values are embedded in weaving practices across Naga, Meitei, Mishmi, and Tangkhul communities. Contemporary data shows that 76.2% of India’s women weavers belong to the North-East, underlining the region’s centrality in the preservation of India’s textile heritage. The paper concluded that weaving represents resilience, creativity, and identity, with women serving as vital custodians of cultural continuity and social cohesion.</w:t>
      </w:r>
    </w:p>
    <w:p w14:paraId="10ECFB0B" w14:textId="77777777" w:rsidR="003934E1" w:rsidRDefault="003934E1">
      <w:pPr>
        <w:spacing w:line="276" w:lineRule="auto"/>
        <w:jc w:val="both"/>
        <w:rPr>
          <w:rFonts w:ascii="Times New Roman" w:eastAsia="Times New Roman" w:hAnsi="Times New Roman" w:cs="Times New Roman"/>
        </w:rPr>
      </w:pPr>
    </w:p>
    <w:p w14:paraId="6E679223" w14:textId="77777777" w:rsidR="003934E1" w:rsidRDefault="00000000">
      <w:pPr>
        <w:spacing w:line="276" w:lineRule="auto"/>
        <w:jc w:val="both"/>
        <w:rPr>
          <w:rFonts w:ascii="Times New Roman" w:eastAsia="Times New Roman" w:hAnsi="Times New Roman" w:cs="Times New Roman"/>
        </w:rPr>
      </w:pPr>
      <w:r>
        <w:rPr>
          <w:rFonts w:ascii="Times New Roman" w:eastAsia="Times New Roman" w:hAnsi="Times New Roman" w:cs="Times New Roman"/>
        </w:rPr>
        <w:t>In conclusion, Technical Session 5 offered a multidimensional exploration of tribal and indigenous communities in India, spanning youth aspirations, cultural politics, socio-economic vulnerabilities, and gendered custodianship of tradition. The session highlighted the complex ways in which marginalized communities navigate structural challenges, negotiate cultural identity, and engage with social and political movements. It also underscored the need for context-sensitive, inclusive, and sustainable interventions—spanning health, education, welfare, and cultural preservation—to empower these communities while respecting their knowledge systems, traditions, and aspirations. The presentations collectively emphasized that addressing marginalization requires not only policy reform but also deep engagement with culture, identity, and local social structures to promote equitable development and resilience.</w:t>
      </w:r>
    </w:p>
    <w:p w14:paraId="165E2AF3" w14:textId="77777777" w:rsidR="003934E1" w:rsidRDefault="003934E1">
      <w:pPr>
        <w:spacing w:line="276" w:lineRule="auto"/>
        <w:rPr>
          <w:rFonts w:ascii="Arial" w:eastAsia="Arial" w:hAnsi="Arial" w:cs="Arial"/>
          <w:sz w:val="22"/>
          <w:szCs w:val="22"/>
        </w:rPr>
      </w:pPr>
    </w:p>
    <w:p w14:paraId="35A264D9" w14:textId="77777777" w:rsidR="003934E1" w:rsidRDefault="003934E1">
      <w:pPr>
        <w:spacing w:line="276" w:lineRule="auto"/>
        <w:rPr>
          <w:rFonts w:ascii="Arial" w:eastAsia="Arial" w:hAnsi="Arial" w:cs="Arial"/>
          <w:sz w:val="22"/>
          <w:szCs w:val="22"/>
        </w:rPr>
      </w:pPr>
    </w:p>
    <w:p w14:paraId="3203B7FE" w14:textId="77777777" w:rsidR="003934E1" w:rsidRDefault="00000000">
      <w:pPr>
        <w:spacing w:line="278" w:lineRule="auto"/>
        <w:rPr>
          <w:rFonts w:ascii="Calibri" w:eastAsia="Calibri" w:hAnsi="Calibri" w:cs="Calibri"/>
          <w:b/>
          <w:sz w:val="22"/>
          <w:szCs w:val="22"/>
        </w:rPr>
      </w:pPr>
      <w:r>
        <w:rPr>
          <w:rFonts w:ascii="Times New Roman" w:eastAsia="Times New Roman" w:hAnsi="Times New Roman" w:cs="Times New Roman"/>
          <w:b/>
        </w:rPr>
        <w:t>Day 2: 30</w:t>
      </w:r>
      <w:r>
        <w:rPr>
          <w:rFonts w:ascii="Times New Roman" w:eastAsia="Times New Roman" w:hAnsi="Times New Roman" w:cs="Times New Roman"/>
          <w:b/>
          <w:vertAlign w:val="superscript"/>
        </w:rPr>
        <w:t>th</w:t>
      </w:r>
      <w:r>
        <w:rPr>
          <w:rFonts w:ascii="Times New Roman" w:eastAsia="Times New Roman" w:hAnsi="Times New Roman" w:cs="Times New Roman"/>
          <w:b/>
        </w:rPr>
        <w:t xml:space="preserve"> July 2025</w:t>
      </w:r>
    </w:p>
    <w:p w14:paraId="53B658F9" w14:textId="77777777" w:rsidR="003934E1" w:rsidRDefault="00000000">
      <w:pPr>
        <w:spacing w:after="160" w:line="259" w:lineRule="auto"/>
        <w:rPr>
          <w:rFonts w:ascii="Times New Roman" w:eastAsia="Times New Roman" w:hAnsi="Times New Roman" w:cs="Times New Roman"/>
          <w:b/>
        </w:rPr>
      </w:pPr>
      <w:r>
        <w:rPr>
          <w:rFonts w:ascii="Times New Roman" w:eastAsia="Times New Roman" w:hAnsi="Times New Roman" w:cs="Times New Roman"/>
          <w:b/>
        </w:rPr>
        <w:t xml:space="preserve">Technical Session VI : Contribution of Indian Tribes in Shaping the History of India </w:t>
      </w:r>
    </w:p>
    <w:p w14:paraId="15803029"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Chair/ Moderator: Richa Raj </w:t>
      </w:r>
    </w:p>
    <w:p w14:paraId="71C4575A"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Judges: Ayesha Gautam &amp; Amita Paliwal</w:t>
      </w:r>
    </w:p>
    <w:p w14:paraId="14581C52" w14:textId="77777777" w:rsidR="003934E1" w:rsidRDefault="003934E1">
      <w:pPr>
        <w:spacing w:after="160" w:line="259" w:lineRule="auto"/>
        <w:rPr>
          <w:rFonts w:ascii="Times New Roman" w:eastAsia="Times New Roman" w:hAnsi="Times New Roman" w:cs="Times New Roman"/>
        </w:rPr>
      </w:pPr>
    </w:p>
    <w:p w14:paraId="13433C99" w14:textId="77777777" w:rsidR="003934E1" w:rsidRDefault="00000000">
      <w:pPr>
        <w:spacing w:after="160" w:line="259" w:lineRule="auto"/>
        <w:jc w:val="both"/>
        <w:rPr>
          <w:rFonts w:ascii="Times New Roman" w:eastAsia="Times New Roman" w:hAnsi="Times New Roman" w:cs="Times New Roman"/>
        </w:rPr>
      </w:pPr>
      <w:r>
        <w:rPr>
          <w:rFonts w:ascii="Times New Roman" w:eastAsia="Times New Roman" w:hAnsi="Times New Roman" w:cs="Times New Roman"/>
          <w:b/>
        </w:rPr>
        <w:t xml:space="preserve">Anubhuti Agnes Bara </w:t>
      </w:r>
      <w:r>
        <w:rPr>
          <w:rFonts w:ascii="Times New Roman" w:eastAsia="Times New Roman" w:hAnsi="Times New Roman" w:cs="Times New Roman"/>
        </w:rPr>
        <w:t>in her</w:t>
      </w:r>
      <w:r>
        <w:rPr>
          <w:rFonts w:ascii="Times New Roman" w:eastAsia="Times New Roman" w:hAnsi="Times New Roman" w:cs="Times New Roman"/>
          <w:b/>
        </w:rPr>
        <w:t xml:space="preserve"> </w:t>
      </w:r>
      <w:r>
        <w:rPr>
          <w:rFonts w:ascii="Times New Roman" w:eastAsia="Times New Roman" w:hAnsi="Times New Roman" w:cs="Times New Roman"/>
        </w:rPr>
        <w:t xml:space="preserve">presentation titled </w:t>
      </w:r>
      <w:r>
        <w:rPr>
          <w:rFonts w:ascii="Times New Roman" w:eastAsia="Times New Roman" w:hAnsi="Times New Roman" w:cs="Times New Roman"/>
          <w:i/>
          <w:color w:val="222222"/>
          <w:sz w:val="22"/>
          <w:szCs w:val="22"/>
          <w:highlight w:val="white"/>
        </w:rPr>
        <w:t>“</w:t>
      </w:r>
      <w:r>
        <w:rPr>
          <w:rFonts w:ascii="Times New Roman" w:eastAsia="Times New Roman" w:hAnsi="Times New Roman" w:cs="Times New Roman"/>
          <w:i/>
          <w:color w:val="222222"/>
          <w:highlight w:val="white"/>
        </w:rPr>
        <w:t>Epistemologies of rebellion: Revisiting colonial archives, racialised myths and Adivasi Insurgencies, 1850-1908”</w:t>
      </w:r>
      <w:r>
        <w:rPr>
          <w:rFonts w:ascii="Times New Roman" w:eastAsia="Times New Roman" w:hAnsi="Times New Roman" w:cs="Times New Roman"/>
        </w:rPr>
        <w:t xml:space="preserve"> critiqued the epistemic violence inflicted on Adivasi communities through colonial and postcolonial historiography. It highlights how colonial constructs—like the racialised ‘tribe’—drew from Brahminical myths and Social Darwinism to justify imperial control, erasing Adivasi agency and knowledge systems. Mainstream scholarship often ignored or distorted Adivasi resistance, portraying it as passive or primitive.  Adivasis have always produced dynamic, dialogical forms </w:t>
      </w:r>
      <w:r>
        <w:rPr>
          <w:rFonts w:ascii="Times New Roman" w:eastAsia="Times New Roman" w:hAnsi="Times New Roman" w:cs="Times New Roman"/>
        </w:rPr>
        <w:lastRenderedPageBreak/>
        <w:t>of knowledge and resistance, asserting autonomy through cultural and political means. The study calls for decolonial praxis by foregrounding Adivasi epistemes and rethinking history, methodology, and archival practices from the standpoint of the marginalised.</w:t>
      </w:r>
    </w:p>
    <w:p w14:paraId="15788603" w14:textId="77777777" w:rsidR="003934E1" w:rsidRDefault="00000000">
      <w:pPr>
        <w:spacing w:after="160" w:line="259" w:lineRule="auto"/>
        <w:jc w:val="both"/>
        <w:rPr>
          <w:rFonts w:ascii="Times New Roman" w:eastAsia="Times New Roman" w:hAnsi="Times New Roman" w:cs="Times New Roman"/>
        </w:rPr>
      </w:pPr>
      <w:r>
        <w:rPr>
          <w:rFonts w:ascii="Times New Roman" w:eastAsia="Times New Roman" w:hAnsi="Times New Roman" w:cs="Times New Roman"/>
          <w:b/>
        </w:rPr>
        <w:t>Gopal Kumar and Sanskriti Singh’s</w:t>
      </w:r>
      <w:r>
        <w:rPr>
          <w:rFonts w:ascii="Times New Roman" w:eastAsia="Times New Roman" w:hAnsi="Times New Roman" w:cs="Times New Roman"/>
        </w:rPr>
        <w:t xml:space="preserve"> jointly authored paper presentation titled </w:t>
      </w:r>
      <w:r>
        <w:rPr>
          <w:rFonts w:ascii="Times New Roman" w:eastAsia="Times New Roman" w:hAnsi="Times New Roman" w:cs="Times New Roman"/>
          <w:i/>
          <w:color w:val="222222"/>
          <w:highlight w:val="white"/>
        </w:rPr>
        <w:t>“Weaving the Nation: The Tribal Thread in India’s Past”</w:t>
      </w:r>
      <w:r>
        <w:rPr>
          <w:rFonts w:ascii="Times New Roman" w:eastAsia="Times New Roman" w:hAnsi="Times New Roman" w:cs="Times New Roman"/>
        </w:rPr>
        <w:t xml:space="preserve"> highlighted the marginalisation of Adivasi contributions in Indian history, focusing on their cultural knowledge, resistance, and leadership. It explored how tribal voices- through oral traditions, rituals, and songs- offer alternative historical narratives. Leaders like Birsa Munda and </w:t>
      </w:r>
      <w:proofErr w:type="spellStart"/>
      <w:r>
        <w:rPr>
          <w:rFonts w:ascii="Times New Roman" w:eastAsia="Times New Roman" w:hAnsi="Times New Roman" w:cs="Times New Roman"/>
        </w:rPr>
        <w:t>Sidho-Kanho</w:t>
      </w:r>
      <w:proofErr w:type="spellEnd"/>
      <w:r>
        <w:rPr>
          <w:rFonts w:ascii="Times New Roman" w:eastAsia="Times New Roman" w:hAnsi="Times New Roman" w:cs="Times New Roman"/>
        </w:rPr>
        <w:t xml:space="preserve"> envisioned indigenous self-rule and justice. The study examined themes like spiritual resistance, gender roles, and identity assertion, and calls for integrating tribal histories into mainstream education. It concluded that Adivasis are central to India’s nationhood, embodying resilience, diversity, and ecological wisdom.</w:t>
      </w:r>
    </w:p>
    <w:p w14:paraId="4BB9DF0E" w14:textId="77777777" w:rsidR="003934E1" w:rsidRDefault="00000000">
      <w:pPr>
        <w:spacing w:after="160" w:line="259" w:lineRule="auto"/>
        <w:jc w:val="both"/>
        <w:rPr>
          <w:rFonts w:ascii="Times New Roman" w:eastAsia="Times New Roman" w:hAnsi="Times New Roman" w:cs="Times New Roman"/>
        </w:rPr>
      </w:pPr>
      <w:r>
        <w:rPr>
          <w:rFonts w:ascii="Times New Roman" w:eastAsia="Times New Roman" w:hAnsi="Times New Roman" w:cs="Times New Roman"/>
          <w:b/>
        </w:rPr>
        <w:t xml:space="preserve">Amita </w:t>
      </w:r>
      <w:proofErr w:type="spellStart"/>
      <w:r>
        <w:rPr>
          <w:rFonts w:ascii="Times New Roman" w:eastAsia="Times New Roman" w:hAnsi="Times New Roman" w:cs="Times New Roman"/>
          <w:b/>
        </w:rPr>
        <w:t>Khalkho</w:t>
      </w:r>
      <w:proofErr w:type="spellEnd"/>
      <w:r>
        <w:rPr>
          <w:rFonts w:ascii="Times New Roman" w:eastAsia="Times New Roman" w:hAnsi="Times New Roman" w:cs="Times New Roman"/>
          <w:b/>
        </w:rPr>
        <w:t xml:space="preserve"> </w:t>
      </w:r>
      <w:r>
        <w:rPr>
          <w:rFonts w:ascii="Times New Roman" w:eastAsia="Times New Roman" w:hAnsi="Times New Roman" w:cs="Times New Roman"/>
        </w:rPr>
        <w:t xml:space="preserve">the final presenter, in her paper titled </w:t>
      </w:r>
      <w:r>
        <w:rPr>
          <w:rFonts w:ascii="Times New Roman" w:eastAsia="Times New Roman" w:hAnsi="Times New Roman" w:cs="Times New Roman"/>
          <w:i/>
        </w:rPr>
        <w:t xml:space="preserve">“Tribal Resistance in the 18th century in Jungle Mahal” </w:t>
      </w:r>
      <w:r>
        <w:rPr>
          <w:rFonts w:ascii="Times New Roman" w:eastAsia="Times New Roman" w:hAnsi="Times New Roman" w:cs="Times New Roman"/>
        </w:rPr>
        <w:t>focussed on archival and company records. The presenter explored the multiple nuances of how tribals asserted their own autonomy in the Resistance movements. She also mentioned incidents of banditry often an outcome of disgruntlement by the peasants. She laid concluding remarks on how the uprising in the Jungle Mahal region challenged the beliefs of the English East India Company on Tribes and thereby served as a pivotal point of discussion and further deliberation.</w:t>
      </w:r>
    </w:p>
    <w:p w14:paraId="34AEFE3E" w14:textId="77777777" w:rsidR="003934E1" w:rsidRDefault="003934E1">
      <w:pPr>
        <w:spacing w:line="278" w:lineRule="auto"/>
        <w:jc w:val="both"/>
        <w:rPr>
          <w:rFonts w:ascii="Times New Roman" w:eastAsia="Times New Roman" w:hAnsi="Times New Roman" w:cs="Times New Roman"/>
        </w:rPr>
      </w:pPr>
    </w:p>
    <w:p w14:paraId="385C686A" w14:textId="77777777" w:rsidR="003934E1" w:rsidRDefault="003934E1">
      <w:pPr>
        <w:spacing w:line="278" w:lineRule="auto"/>
        <w:jc w:val="both"/>
        <w:rPr>
          <w:rFonts w:ascii="Times New Roman" w:eastAsia="Times New Roman" w:hAnsi="Times New Roman" w:cs="Times New Roman"/>
        </w:rPr>
      </w:pPr>
    </w:p>
    <w:p w14:paraId="4C1E86D2" w14:textId="77777777" w:rsidR="003934E1" w:rsidRDefault="00000000">
      <w:pPr>
        <w:spacing w:line="278" w:lineRule="auto"/>
        <w:rPr>
          <w:rFonts w:ascii="Times New Roman" w:eastAsia="Times New Roman" w:hAnsi="Times New Roman" w:cs="Times New Roman"/>
          <w:b/>
        </w:rPr>
      </w:pPr>
      <w:r>
        <w:rPr>
          <w:rFonts w:ascii="Times New Roman" w:eastAsia="Times New Roman" w:hAnsi="Times New Roman" w:cs="Times New Roman"/>
          <w:b/>
        </w:rPr>
        <w:t>Valedictory Session</w:t>
      </w:r>
    </w:p>
    <w:p w14:paraId="4A26F7BC" w14:textId="77777777" w:rsidR="003934E1" w:rsidRDefault="00000000">
      <w:pPr>
        <w:spacing w:line="278" w:lineRule="auto"/>
        <w:rPr>
          <w:rFonts w:ascii="Times New Roman" w:eastAsia="Times New Roman" w:hAnsi="Times New Roman" w:cs="Times New Roman"/>
        </w:rPr>
      </w:pPr>
      <w:r>
        <w:rPr>
          <w:rFonts w:ascii="Times New Roman" w:eastAsia="Times New Roman" w:hAnsi="Times New Roman" w:cs="Times New Roman"/>
        </w:rPr>
        <w:t>Time: 3.10 p.m.- 4.30 p.m.</w:t>
      </w:r>
    </w:p>
    <w:p w14:paraId="53FAD225" w14:textId="77777777" w:rsidR="003934E1" w:rsidRDefault="00000000">
      <w:pPr>
        <w:spacing w:line="278" w:lineRule="auto"/>
        <w:rPr>
          <w:rFonts w:ascii="Times New Roman" w:eastAsia="Times New Roman" w:hAnsi="Times New Roman" w:cs="Times New Roman"/>
          <w:i/>
        </w:rPr>
      </w:pPr>
      <w:r>
        <w:rPr>
          <w:rFonts w:ascii="Times New Roman" w:eastAsia="Times New Roman" w:hAnsi="Times New Roman" w:cs="Times New Roman"/>
        </w:rPr>
        <w:t>Venue: Venue: Seminar Hall Third Floor</w:t>
      </w:r>
      <w:r>
        <w:rPr>
          <w:rFonts w:ascii="Times New Roman" w:eastAsia="Times New Roman" w:hAnsi="Times New Roman" w:cs="Times New Roman"/>
        </w:rPr>
        <w:br/>
      </w:r>
    </w:p>
    <w:p w14:paraId="585CB007" w14:textId="77777777" w:rsidR="003934E1" w:rsidRDefault="00000000">
      <w:pPr>
        <w:spacing w:line="278" w:lineRule="auto"/>
        <w:jc w:val="both"/>
        <w:rPr>
          <w:rFonts w:ascii="Times New Roman" w:eastAsia="Times New Roman" w:hAnsi="Times New Roman" w:cs="Times New Roman"/>
        </w:rPr>
      </w:pPr>
      <w:r>
        <w:rPr>
          <w:rFonts w:ascii="Times New Roman" w:eastAsia="Times New Roman" w:hAnsi="Times New Roman" w:cs="Times New Roman"/>
          <w:b/>
        </w:rPr>
        <w:t xml:space="preserve">Prof. Bipin Jojo </w:t>
      </w:r>
      <w:r>
        <w:rPr>
          <w:rFonts w:ascii="Times New Roman" w:eastAsia="Times New Roman" w:hAnsi="Times New Roman" w:cs="Times New Roman"/>
        </w:rPr>
        <w:t xml:space="preserve">delivered the valedictory address. He began by thanking the organisers and students for not just attending, but participating. He spoke about how learning did not just happen in the panels, but also during tea breaks, in side-conversations, and in the informal spaces in between. “That,” he said, “is the real spirit of a conference like this.” Prof. Jojo walked the audience through what he called three key moments or “milestones” in tribal studies. He spoke candidly about epistemic colonization, about how even today, tribal knowledge systems are dismissed or tokenized, while Western models of knowledge are seen as legitimate. He said that the call to decolonise is not just about rewriting history, but about rebuilding ways of knowing. That requires more than scholarship, it requires humility. Prof. Jojo reflected on the contradiction of places like Jharkhand: land rich in minerals, forests, and rivers, but home to some of the poorest and most dispossessed people. “Why is it,” he asked, “that the more resources a region has, the more its people are displaced?” He critiqued the development model that displaces communities in the name of ‘national interest’. He gave the example of millet consumption, how Adivasi communities were once told their food was primitive, only to be now told to revive it as a ‘superfood.’ He also addressed the heavy security presence in tribal areas like Dantewada and </w:t>
      </w:r>
      <w:proofErr w:type="spellStart"/>
      <w:r>
        <w:rPr>
          <w:rFonts w:ascii="Times New Roman" w:eastAsia="Times New Roman" w:hAnsi="Times New Roman" w:cs="Times New Roman"/>
        </w:rPr>
        <w:t>Gadchiroli</w:t>
      </w:r>
      <w:proofErr w:type="spellEnd"/>
      <w:r>
        <w:rPr>
          <w:rFonts w:ascii="Times New Roman" w:eastAsia="Times New Roman" w:hAnsi="Times New Roman" w:cs="Times New Roman"/>
        </w:rPr>
        <w:t xml:space="preserve">, pointing out how these regions are framed as dangerous, not because of their people, but because of what they stand for, resistance, autonomy, and refusal. Towards the end, he offered a quiet but serious challenge to the </w:t>
      </w:r>
      <w:r>
        <w:rPr>
          <w:rFonts w:ascii="Times New Roman" w:eastAsia="Times New Roman" w:hAnsi="Times New Roman" w:cs="Times New Roman"/>
        </w:rPr>
        <w:lastRenderedPageBreak/>
        <w:t>researchers and students in the room. “Research,” he said, “should be liberatory. It should not be extractive. It must not be demeaning. It must listen before it speaks. And above all, it must be just.”</w:t>
      </w:r>
    </w:p>
    <w:p w14:paraId="76D9ED88" w14:textId="77777777" w:rsidR="003934E1" w:rsidRDefault="003934E1">
      <w:pPr>
        <w:spacing w:line="278" w:lineRule="auto"/>
        <w:jc w:val="both"/>
        <w:rPr>
          <w:rFonts w:ascii="Times New Roman" w:eastAsia="Times New Roman" w:hAnsi="Times New Roman" w:cs="Times New Roman"/>
        </w:rPr>
      </w:pPr>
    </w:p>
    <w:p w14:paraId="217A7750" w14:textId="77777777" w:rsidR="003934E1" w:rsidRDefault="00000000">
      <w:pPr>
        <w:spacing w:line="278" w:lineRule="auto"/>
        <w:jc w:val="both"/>
        <w:rPr>
          <w:rFonts w:ascii="Times New Roman" w:eastAsia="Times New Roman" w:hAnsi="Times New Roman" w:cs="Times New Roman"/>
        </w:rPr>
      </w:pPr>
      <w:r>
        <w:rPr>
          <w:rFonts w:ascii="Times New Roman" w:eastAsia="Times New Roman" w:hAnsi="Times New Roman" w:cs="Times New Roman"/>
        </w:rPr>
        <w:t>At the conclusion of the session, the best papers from all technical panels were announced. The following participants were awarded for their outstanding contributions:</w:t>
      </w:r>
    </w:p>
    <w:p w14:paraId="72400A1B" w14:textId="77777777" w:rsidR="003934E1" w:rsidRDefault="00000000">
      <w:pPr>
        <w:numPr>
          <w:ilvl w:val="0"/>
          <w:numId w:val="17"/>
        </w:numPr>
        <w:spacing w:line="278" w:lineRule="auto"/>
        <w:jc w:val="both"/>
        <w:rPr>
          <w:rFonts w:ascii="Times New Roman" w:eastAsia="Times New Roman" w:hAnsi="Times New Roman" w:cs="Times New Roman"/>
        </w:rPr>
      </w:pPr>
      <w:r>
        <w:rPr>
          <w:rFonts w:ascii="Times New Roman" w:eastAsia="Times New Roman" w:hAnsi="Times New Roman" w:cs="Times New Roman"/>
          <w:b/>
        </w:rPr>
        <w:t>Anubhuti Agnes Bara</w:t>
      </w:r>
    </w:p>
    <w:p w14:paraId="1DD0AA0B" w14:textId="77777777" w:rsidR="003934E1" w:rsidRDefault="00000000">
      <w:pPr>
        <w:numPr>
          <w:ilvl w:val="0"/>
          <w:numId w:val="17"/>
        </w:numPr>
        <w:spacing w:line="278" w:lineRule="auto"/>
        <w:jc w:val="both"/>
        <w:rPr>
          <w:rFonts w:ascii="Times New Roman" w:eastAsia="Times New Roman" w:hAnsi="Times New Roman" w:cs="Times New Roman"/>
        </w:rPr>
      </w:pPr>
      <w:r>
        <w:rPr>
          <w:rFonts w:ascii="Times New Roman" w:eastAsia="Times New Roman" w:hAnsi="Times New Roman" w:cs="Times New Roman"/>
          <w:b/>
        </w:rPr>
        <w:t>Sahib Singh Tulsi</w:t>
      </w:r>
    </w:p>
    <w:p w14:paraId="6918219D" w14:textId="77777777" w:rsidR="003934E1" w:rsidRDefault="00000000">
      <w:pPr>
        <w:numPr>
          <w:ilvl w:val="0"/>
          <w:numId w:val="17"/>
        </w:numPr>
        <w:spacing w:line="278" w:lineRule="auto"/>
        <w:jc w:val="both"/>
        <w:rPr>
          <w:rFonts w:ascii="Times New Roman" w:eastAsia="Times New Roman" w:hAnsi="Times New Roman" w:cs="Times New Roman"/>
          <w:b/>
        </w:rPr>
      </w:pPr>
      <w:r>
        <w:rPr>
          <w:rFonts w:ascii="Times New Roman" w:eastAsia="Times New Roman" w:hAnsi="Times New Roman" w:cs="Times New Roman"/>
          <w:b/>
        </w:rPr>
        <w:t>Samarth Singhal – Special Mention</w:t>
      </w:r>
    </w:p>
    <w:p w14:paraId="5DCE7806" w14:textId="77777777" w:rsidR="003934E1" w:rsidRDefault="003934E1">
      <w:pPr>
        <w:spacing w:line="278" w:lineRule="auto"/>
        <w:jc w:val="both"/>
        <w:rPr>
          <w:rFonts w:ascii="Times New Roman" w:eastAsia="Times New Roman" w:hAnsi="Times New Roman" w:cs="Times New Roman"/>
          <w:b/>
        </w:rPr>
      </w:pPr>
    </w:p>
    <w:p w14:paraId="240293BB" w14:textId="312179E5" w:rsidR="003934E1" w:rsidRDefault="00000000" w:rsidP="00EB61EF">
      <w:pPr>
        <w:spacing w:line="278" w:lineRule="auto"/>
        <w:jc w:val="both"/>
        <w:rPr>
          <w:rFonts w:ascii="Times New Roman" w:eastAsia="Times New Roman" w:hAnsi="Times New Roman" w:cs="Times New Roman"/>
        </w:rPr>
      </w:pPr>
      <w:r>
        <w:rPr>
          <w:rFonts w:ascii="Times New Roman" w:eastAsia="Times New Roman" w:hAnsi="Times New Roman" w:cs="Times New Roman"/>
        </w:rPr>
        <w:t>The convenors and judges distributed certificates, and the seminar formally concluded with a warm vote of thanks by the Convenors, a final round of applause, and a high tea reception in the common room.</w:t>
      </w:r>
    </w:p>
    <w:p w14:paraId="11EA291B" w14:textId="77777777" w:rsidR="003934E1" w:rsidRDefault="003934E1">
      <w:pPr>
        <w:widowControl w:val="0"/>
        <w:spacing w:before="330" w:line="264" w:lineRule="auto"/>
        <w:ind w:right="263" w:firstLine="7"/>
        <w:rPr>
          <w:rFonts w:ascii="Times New Roman" w:eastAsia="Times New Roman" w:hAnsi="Times New Roman" w:cs="Times New Roman"/>
        </w:rPr>
      </w:pPr>
    </w:p>
    <w:p w14:paraId="5F379ED0" w14:textId="77777777" w:rsidR="003934E1" w:rsidRPr="00EB61EF" w:rsidRDefault="00000000">
      <w:pPr>
        <w:spacing w:line="276" w:lineRule="auto"/>
        <w:jc w:val="center"/>
        <w:rPr>
          <w:rFonts w:ascii="Times New Roman" w:eastAsia="Times New Roman" w:hAnsi="Times New Roman" w:cs="Times New Roman"/>
          <w:b/>
          <w:sz w:val="28"/>
          <w:szCs w:val="28"/>
          <w:u w:val="single"/>
        </w:rPr>
      </w:pPr>
      <w:r w:rsidRPr="00EB61EF">
        <w:rPr>
          <w:rFonts w:ascii="Times New Roman" w:eastAsia="Times New Roman" w:hAnsi="Times New Roman" w:cs="Times New Roman"/>
          <w:b/>
          <w:sz w:val="28"/>
          <w:szCs w:val="28"/>
          <w:u w:val="single"/>
        </w:rPr>
        <w:t>Full Proceedings as Presented in the Seminar along with Abstracts</w:t>
      </w:r>
    </w:p>
    <w:p w14:paraId="73D47FA1" w14:textId="77777777" w:rsidR="003934E1" w:rsidRDefault="003934E1">
      <w:pPr>
        <w:widowControl w:val="0"/>
        <w:spacing w:before="330" w:line="264" w:lineRule="auto"/>
        <w:ind w:right="263" w:firstLine="7"/>
        <w:rPr>
          <w:rFonts w:ascii="Times New Roman" w:eastAsia="Times New Roman" w:hAnsi="Times New Roman" w:cs="Times New Roman"/>
        </w:rPr>
      </w:pPr>
    </w:p>
    <w:p w14:paraId="3A313D2C" w14:textId="77777777" w:rsidR="003934E1" w:rsidRDefault="00000000">
      <w:pPr>
        <w:spacing w:line="360" w:lineRule="auto"/>
        <w:ind w:right="-397"/>
        <w:jc w:val="both"/>
        <w:rPr>
          <w:rFonts w:ascii="Times New Roman" w:eastAsia="Times New Roman" w:hAnsi="Times New Roman" w:cs="Times New Roman"/>
        </w:rPr>
      </w:pPr>
      <w:r>
        <w:rPr>
          <w:rFonts w:ascii="Times New Roman" w:eastAsia="Times New Roman" w:hAnsi="Times New Roman" w:cs="Times New Roman"/>
        </w:rPr>
        <w:t>Anindita Saha</w:t>
      </w:r>
    </w:p>
    <w:p w14:paraId="0E049A3A" w14:textId="77777777" w:rsidR="003934E1" w:rsidRDefault="00000000">
      <w:pPr>
        <w:spacing w:line="360" w:lineRule="auto"/>
        <w:ind w:right="-397"/>
        <w:jc w:val="both"/>
        <w:rPr>
          <w:rFonts w:ascii="Times New Roman" w:eastAsia="Times New Roman" w:hAnsi="Times New Roman" w:cs="Times New Roman"/>
        </w:rPr>
      </w:pPr>
      <w:r>
        <w:rPr>
          <w:rFonts w:ascii="Times New Roman" w:eastAsia="Times New Roman" w:hAnsi="Times New Roman" w:cs="Times New Roman"/>
        </w:rPr>
        <w:t>Ph.D. Research Scholar</w:t>
      </w:r>
    </w:p>
    <w:p w14:paraId="619D635B" w14:textId="77777777" w:rsidR="003934E1" w:rsidRDefault="00000000">
      <w:pPr>
        <w:spacing w:line="360" w:lineRule="auto"/>
        <w:ind w:right="-397"/>
        <w:jc w:val="both"/>
        <w:rPr>
          <w:rFonts w:ascii="Times New Roman" w:eastAsia="Times New Roman" w:hAnsi="Times New Roman" w:cs="Times New Roman"/>
        </w:rPr>
      </w:pPr>
      <w:r>
        <w:rPr>
          <w:rFonts w:ascii="Times New Roman" w:eastAsia="Times New Roman" w:hAnsi="Times New Roman" w:cs="Times New Roman"/>
        </w:rPr>
        <w:t>Department of English</w:t>
      </w:r>
    </w:p>
    <w:p w14:paraId="6DF9946A" w14:textId="77777777" w:rsidR="003934E1" w:rsidRDefault="00000000">
      <w:pPr>
        <w:spacing w:line="360" w:lineRule="auto"/>
        <w:ind w:right="-397"/>
        <w:jc w:val="both"/>
        <w:rPr>
          <w:rFonts w:ascii="Times New Roman" w:eastAsia="Times New Roman" w:hAnsi="Times New Roman" w:cs="Times New Roman"/>
        </w:rPr>
      </w:pPr>
      <w:r>
        <w:rPr>
          <w:rFonts w:ascii="Times New Roman" w:eastAsia="Times New Roman" w:hAnsi="Times New Roman" w:cs="Times New Roman"/>
        </w:rPr>
        <w:t>Sister Nivedita University</w:t>
      </w:r>
    </w:p>
    <w:p w14:paraId="1ABF981A" w14:textId="77777777" w:rsidR="003934E1" w:rsidRDefault="00000000">
      <w:pPr>
        <w:spacing w:line="360" w:lineRule="auto"/>
        <w:ind w:right="-397"/>
        <w:jc w:val="both"/>
        <w:rPr>
          <w:rFonts w:ascii="Times New Roman" w:eastAsia="Times New Roman" w:hAnsi="Times New Roman" w:cs="Times New Roman"/>
        </w:rPr>
      </w:pPr>
      <w:r>
        <w:rPr>
          <w:rFonts w:ascii="Times New Roman" w:eastAsia="Times New Roman" w:hAnsi="Times New Roman" w:cs="Times New Roman"/>
        </w:rPr>
        <w:t>New Town, Kolkata,</w:t>
      </w:r>
    </w:p>
    <w:p w14:paraId="433ADF02" w14:textId="77777777" w:rsidR="003934E1" w:rsidRDefault="00000000">
      <w:pPr>
        <w:spacing w:line="360" w:lineRule="auto"/>
        <w:ind w:right="-397"/>
        <w:jc w:val="both"/>
        <w:rPr>
          <w:rFonts w:ascii="Times New Roman" w:eastAsia="Times New Roman" w:hAnsi="Times New Roman" w:cs="Times New Roman"/>
        </w:rPr>
      </w:pPr>
      <w:r>
        <w:rPr>
          <w:rFonts w:ascii="Times New Roman" w:eastAsia="Times New Roman" w:hAnsi="Times New Roman" w:cs="Times New Roman"/>
        </w:rPr>
        <w:t>India.</w:t>
      </w:r>
    </w:p>
    <w:p w14:paraId="448A2718" w14:textId="77777777" w:rsidR="003934E1" w:rsidRDefault="00000000">
      <w:pPr>
        <w:spacing w:line="360" w:lineRule="auto"/>
        <w:ind w:right="-397"/>
        <w:jc w:val="both"/>
        <w:rPr>
          <w:rFonts w:ascii="Times New Roman" w:eastAsia="Times New Roman" w:hAnsi="Times New Roman" w:cs="Times New Roman"/>
        </w:rPr>
      </w:pPr>
      <w:r>
        <w:rPr>
          <w:rFonts w:ascii="Times New Roman" w:eastAsia="Times New Roman" w:hAnsi="Times New Roman" w:cs="Times New Roman"/>
        </w:rPr>
        <w:t>Email: anindita123450@gmail.com</w:t>
      </w:r>
    </w:p>
    <w:p w14:paraId="030A959F" w14:textId="77777777" w:rsidR="003934E1" w:rsidRDefault="00000000">
      <w:pPr>
        <w:spacing w:line="360" w:lineRule="auto"/>
        <w:ind w:right="-397"/>
        <w:jc w:val="both"/>
        <w:rPr>
          <w:rFonts w:ascii="Times New Roman" w:eastAsia="Times New Roman" w:hAnsi="Times New Roman" w:cs="Times New Roman"/>
        </w:rPr>
      </w:pPr>
      <w:r>
        <w:rPr>
          <w:rFonts w:ascii="Times New Roman" w:eastAsia="Times New Roman" w:hAnsi="Times New Roman" w:cs="Times New Roman"/>
        </w:rPr>
        <w:t>Phone number: 9933430070</w:t>
      </w:r>
    </w:p>
    <w:p w14:paraId="481A9654" w14:textId="77777777" w:rsidR="003934E1" w:rsidRDefault="003934E1">
      <w:pPr>
        <w:spacing w:line="360" w:lineRule="auto"/>
        <w:jc w:val="both"/>
        <w:rPr>
          <w:rFonts w:ascii="Times New Roman" w:eastAsia="Times New Roman" w:hAnsi="Times New Roman" w:cs="Times New Roman"/>
        </w:rPr>
      </w:pPr>
    </w:p>
    <w:p w14:paraId="3F05FCBE" w14:textId="77777777" w:rsidR="003934E1" w:rsidRDefault="00000000">
      <w:pPr>
        <w:spacing w:line="360" w:lineRule="auto"/>
        <w:jc w:val="both"/>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Tribal Folklore as Historical Source: Contributions of North Bengal’s Indigenous Communities to Indian History</w:t>
      </w:r>
    </w:p>
    <w:p w14:paraId="63BDE8E7" w14:textId="77777777" w:rsidR="003934E1" w:rsidRDefault="0000000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079CC4A2"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history of a nation is not solely preserved in written records, monuments, or official archives—it also pulses through the oral traditions and folk narratives of its people. This paper seeks to explore how the rich and diverse folklore of the ethnic tribes of North Bengal—particularly the Rajbanshi, Toto, Rabha, Lepcha, and Limbu—serves as a living archive of cultural memory, resistance, and identity, contributing significantly to the shaping of Indian history. In alignment with the conference sub-theme, this study highlights how the oral </w:t>
      </w:r>
      <w:r>
        <w:rPr>
          <w:rFonts w:ascii="Times New Roman" w:eastAsia="Times New Roman" w:hAnsi="Times New Roman" w:cs="Times New Roman"/>
        </w:rPr>
        <w:lastRenderedPageBreak/>
        <w:t>narratives of these indigenous communities not only reflect their socio-cultural evolution but also offer alternative perspectives on regional and national histories.</w:t>
      </w:r>
    </w:p>
    <w:p w14:paraId="24301EBF"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folklore of these tribes—ranging from myths of origin and ancestral heroes to songs of migration, colonial encounters, and environmental wisdom—encapsulates a worldview that predates and parallels mainstream historical discourse. For instance, the Rajbanshi narratives often blend myth with memory, referencing their migration from the Himalayan foothills and interactions with ancient kingdoms, suggesting a deep-rooted connection to the political and cultural shifts in Eastern India. Similarly, Lepcha and Limbu oral traditions, preserved in poetic chants and ritual storytelling, provide insight into their indigenous governance systems, environmental stewardship, and resistance to external domination—especially during the colonial period.</w:t>
      </w:r>
    </w:p>
    <w:p w14:paraId="65183916"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paper employs a qualitative, interdisciplinary methodology, combining ethnographic fieldwork, textual analysis, and oral history interviews conducted in selected tribal regions of North Bengal. By interpreting recurring motifs, character archetypes, and symbolic metaphors within these folktales, the research reconstructs the historical consciousness embedded in tribal storytelling. The study also considers how these narratives are performed, transmitted, and adapted across generations—underscoring their role not just as stories but as dynamic tools of cultural education, resistance, and identity preservation.</w:t>
      </w:r>
    </w:p>
    <w:p w14:paraId="6D52E791"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Furthermore, the paper argues that these tribal narratives challenge the conventional top-down approach to Indian historiography by foregrounding the agency of indigenous communities in shaping socio-political change. The stories of tribal heroes, sacred landscapes, and moral codes embedded in folklore act as counter-histories, resisting the erasure often perpetuated by dominant narratives. In doing so, they contribute a nuanced understanding of India’s pluralistic past, where tribal communities were not passive subjects but active participants and shapers of regional history.</w:t>
      </w:r>
    </w:p>
    <w:p w14:paraId="208A9911"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In conclusion, the folklore of North Bengal’s tribes offers a valuable, underexplored source for reimagining Indian history from the margins. By acknowledging and integrating these oral traditions into the broader historical discourse, we honour the enduring legacy of tribal communities and their vital contributions to India’s civilizational tapestry.</w:t>
      </w:r>
    </w:p>
    <w:p w14:paraId="001EF087"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xml:space="preserve"> Tribal Folklore, North Bengal Tribes, Oral Traditions, Ethnohistory, Indigenous Contributions to Indian History</w:t>
      </w:r>
    </w:p>
    <w:p w14:paraId="3DFE2C3B" w14:textId="77777777" w:rsidR="003934E1" w:rsidRDefault="003934E1">
      <w:pPr>
        <w:spacing w:line="360" w:lineRule="auto"/>
        <w:jc w:val="both"/>
        <w:rPr>
          <w:rFonts w:ascii="Times New Roman" w:eastAsia="Times New Roman" w:hAnsi="Times New Roman" w:cs="Times New Roman"/>
        </w:rPr>
      </w:pPr>
    </w:p>
    <w:p w14:paraId="5AF3AE52" w14:textId="77777777" w:rsidR="003934E1" w:rsidRDefault="003934E1">
      <w:pPr>
        <w:spacing w:line="360" w:lineRule="auto"/>
        <w:jc w:val="both"/>
        <w:rPr>
          <w:rFonts w:ascii="Times New Roman" w:eastAsia="Times New Roman" w:hAnsi="Times New Roman" w:cs="Times New Roman"/>
        </w:rPr>
      </w:pPr>
    </w:p>
    <w:p w14:paraId="517374AD" w14:textId="77777777" w:rsidR="003934E1" w:rsidRDefault="0000000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I. Introduction </w:t>
      </w:r>
    </w:p>
    <w:p w14:paraId="554FF879"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indigenous tribes of North Bengal—namely the Rajbanshi, Toto, Rabha, Lepcha, and Limbu—are among the most culturally and historically significant communities in the region. Despite their enduring presence in the eastern Himalayas and surrounding areas for centuries, these tribes have often been relegated to the margins of India’s historical narrative. One reason for this marginalization is the oral nature of their traditions. Unlike mainstream historiography, which often relies on written records, these communities have preserved their histories through folklore—myths, legends, songs, and oral stories.</w:t>
      </w:r>
    </w:p>
    <w:p w14:paraId="77FC1BCF"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These oral traditions are crucial in understanding not only the history of these tribes but also the broader historical landscape of India. The folklore of the Rajbanshi, Toto, Rabha, Lepcha, and Limbu tribes is much more than mere storytelling; it serves as a historical repository that reflects their migrations, interactions with other ethnic and political groups, and experiences of colonialism, resistance, and social change.</w:t>
      </w:r>
    </w:p>
    <w:p w14:paraId="1DC3DCF2"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paper seeks to investigate the role of tribal folklore as a historical source in understanding the contributions of North Bengal’s indigenous communities to the history of India. The central research question guiding this study is: How does the folklore of North Bengal’s indigenous tribes serve as a historical source, and in what ways does it contribute to the broader understanding of India’s history?</w:t>
      </w:r>
    </w:p>
    <w:p w14:paraId="7DFFF66B"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In particular, this paper aims to show that tribal folklore provides an invaluable perspective on history that complements and sometimes challenges the dominant historical narratives. For example, while colonial history focuses on the impact of British rule, tribal folklore highlights the resilience and agency of indigenous communities in resisting colonial dominance. Through an examination of the folklore of the Rajbanshi, Toto, Rabha, Lepcha, and Limbu, this research will shed light on their historical memory and contribution to the development of Indian society.</w:t>
      </w:r>
    </w:p>
    <w:p w14:paraId="5F9D6426"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By studying their oral traditions, we can gain deeper insights into how these tribes viewed their identity, culture, and relationship with the land, which often stand in stark contrast to the written records that emphasize the political and economic history of dominant groups. This paper ultimately proposes that these oral histories are not merely cultural relics but vital components of the historical fabric of India.</w:t>
      </w:r>
    </w:p>
    <w:p w14:paraId="3417FA9E" w14:textId="77777777" w:rsidR="003934E1" w:rsidRDefault="003934E1">
      <w:pPr>
        <w:spacing w:line="360" w:lineRule="auto"/>
        <w:jc w:val="both"/>
        <w:rPr>
          <w:rFonts w:ascii="Times New Roman" w:eastAsia="Times New Roman" w:hAnsi="Times New Roman" w:cs="Times New Roman"/>
          <w:sz w:val="28"/>
          <w:szCs w:val="28"/>
        </w:rPr>
      </w:pPr>
    </w:p>
    <w:p w14:paraId="16F6600F" w14:textId="77777777" w:rsidR="003934E1" w:rsidRDefault="0000000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 Historical and Cultural Background </w:t>
      </w:r>
    </w:p>
    <w:p w14:paraId="04CFDF11"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Rajbanshi Tribe:</w:t>
      </w:r>
    </w:p>
    <w:p w14:paraId="35AD4AD2"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The Rajbanshi are one of the prominent tribes of North Bengal, living in the plains of the region. Historically, they are known for their connections to the Koch Bihar kingdom, which played a central role in the medieval history of Bengal. The Rajbanshi have a distinct folklore tradition, which includes stories of migration from the Himalayan foothills to the plains of Bengal. One of the major themes in Rajbanshi folklore is the legend of their ancestral migration. According to their oral narratives, the Rajbanshi were initially a Himalayan tribe that migrated southwards, encountering various challenges along the way, such as conflicts with neighbouring tribes and interaction with regional rulers.</w:t>
      </w:r>
    </w:p>
    <w:p w14:paraId="541C243E"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Their folkloric stories also highlight their interactions with neighbouring kingdoms, particularly the Koch Bihar Kingdom, which played a significant role in their historical development. For instance, the Rajbanshi oral tradition speaks of dynastic changes, political alliances, and conflicts with other kingdoms, which reflect a much richer historical memory than is often found in written accounts of the period. Their folklore preserves the memory of the Koch kings, their contributions to the region’s political dynamics, and their eventual integration into the broader Bengali society.</w:t>
      </w:r>
    </w:p>
    <w:p w14:paraId="56A74313"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Toto Tribe:</w:t>
      </w:r>
    </w:p>
    <w:p w14:paraId="69C526F6"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Toto tribe, located primarily in the Do-oars region of North Bengal, is one of the most isolated indigenous tribes in the area. Their folklore is distinct in that it frequently focuses on resistance and survival. The </w:t>
      </w:r>
      <w:proofErr w:type="spellStart"/>
      <w:r>
        <w:rPr>
          <w:rFonts w:ascii="Times New Roman" w:eastAsia="Times New Roman" w:hAnsi="Times New Roman" w:cs="Times New Roman"/>
        </w:rPr>
        <w:t>Totos</w:t>
      </w:r>
      <w:proofErr w:type="spellEnd"/>
      <w:r>
        <w:rPr>
          <w:rFonts w:ascii="Times New Roman" w:eastAsia="Times New Roman" w:hAnsi="Times New Roman" w:cs="Times New Roman"/>
        </w:rPr>
        <w:t xml:space="preserve"> are known for their oral traditions which describe their struggle against external forces, particularly the British colonial administration. One of the most famous stories in Toto folklore is that of the Toto King’s resistance to British encroachment. According to this legend, the Toto people were able to protect their land and culture by standing firm against the British forces, a testament to their courage and resilience in the face of colonialism.</w:t>
      </w:r>
    </w:p>
    <w:p w14:paraId="4B749D42"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Totos</w:t>
      </w:r>
      <w:proofErr w:type="spellEnd"/>
      <w:r>
        <w:rPr>
          <w:rFonts w:ascii="Times New Roman" w:eastAsia="Times New Roman" w:hAnsi="Times New Roman" w:cs="Times New Roman"/>
        </w:rPr>
        <w:t>’ folkloric narratives are particularly significant because they provide a counter-narrative to the typical colonial accounts that portray indigenous peoples as passive victims of colonial rule. Instead, the Toto resistance stories emphasize the tribe’s autonomy and independence, offering a historical memory that underscores indigenous agency during colonial rule. These stories offer vital insights into the regional political struggles during British colonization and how local communities maintained their sovereignty.</w:t>
      </w:r>
    </w:p>
    <w:p w14:paraId="53C1CA69" w14:textId="77777777" w:rsidR="003934E1" w:rsidRDefault="003934E1">
      <w:pPr>
        <w:spacing w:line="360" w:lineRule="auto"/>
        <w:jc w:val="both"/>
        <w:rPr>
          <w:rFonts w:ascii="Times New Roman" w:eastAsia="Times New Roman" w:hAnsi="Times New Roman" w:cs="Times New Roman"/>
          <w:sz w:val="28"/>
          <w:szCs w:val="28"/>
        </w:rPr>
      </w:pPr>
    </w:p>
    <w:p w14:paraId="4C7F0B64"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Rabha Tribe:</w:t>
      </w:r>
    </w:p>
    <w:p w14:paraId="40E4CEB9"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The Rabha tribe, with its rich folklore tradition, has long been associated with heroism and communal solidarity. Their folklore often centres around the leadership of key figures who guided the Rabha people through adversities such as natural calamities and external invasions. The legend of Rabha heroes is prominent in their folklore and emphasizes the idea of strong leadership that helps maintain the unity of the tribe in the face of external pressures.</w:t>
      </w:r>
    </w:p>
    <w:p w14:paraId="24DB6F6B"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One key aspect of Rabha folklore is the depiction of oral law codes and tribal governance. Their stories recount the importance of elders and tribal councils in making decisions for the community. These stories not only provide a sense of historical continuity but also preserve an understanding of the Rabha’s tribal governance system and their unique relationship with neighbouring tribes.</w:t>
      </w:r>
    </w:p>
    <w:p w14:paraId="114E180B" w14:textId="77777777" w:rsidR="003934E1" w:rsidRDefault="003934E1">
      <w:pPr>
        <w:spacing w:line="360" w:lineRule="auto"/>
        <w:jc w:val="both"/>
        <w:rPr>
          <w:rFonts w:ascii="Times New Roman" w:eastAsia="Times New Roman" w:hAnsi="Times New Roman" w:cs="Times New Roman"/>
          <w:sz w:val="28"/>
          <w:szCs w:val="28"/>
        </w:rPr>
      </w:pPr>
    </w:p>
    <w:p w14:paraId="7BFD0C00"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 Lepcha and Limbu Tribes:</w:t>
      </w:r>
    </w:p>
    <w:p w14:paraId="35C24A12"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Lepcha and Limbu tribes, both of which are indigenous to the Himalayan foothills, have a shared cultural heritage that includes deep reverence for nature and spiritual beliefs tied to the land. Their folklore reflects a profound connection to the natural world, with numerous stories about sacred mountains, forest deities, and creation myths. The Lepcha creation myth, for example, narrates the story of the birth of the world and the origins of the human race. The Lepcha people believe that they are the children of nature, a belief reflected in their folklore which emphasizes their role as ecological stewards.</w:t>
      </w:r>
    </w:p>
    <w:p w14:paraId="79A067EE"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Limbu folklore shares similar themes, particularly in its reverence for sacred lands and the spiritual connection between the tribe and the Himalayan landscape. Their folklore recounts the heroic deeds of their ancestors, who were tasked with protecting the sacred mountains and maintaining harmony between humans and the environment. These stories offer valuable insights into the environmental wisdom of the Lepcha and Limbu tribes, providing an alternative perspective on sustainable living that contrasts sharply with modern, exploitative environmental practices.</w:t>
      </w:r>
    </w:p>
    <w:p w14:paraId="19C01C09" w14:textId="77777777" w:rsidR="003934E1" w:rsidRDefault="003934E1">
      <w:pPr>
        <w:spacing w:line="360" w:lineRule="auto"/>
        <w:jc w:val="both"/>
        <w:rPr>
          <w:rFonts w:ascii="Times New Roman" w:eastAsia="Times New Roman" w:hAnsi="Times New Roman" w:cs="Times New Roman"/>
        </w:rPr>
      </w:pPr>
    </w:p>
    <w:p w14:paraId="7A00416F" w14:textId="77777777" w:rsidR="003934E1" w:rsidRDefault="0000000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III. Methodology </w:t>
      </w:r>
    </w:p>
    <w:p w14:paraId="76DB3A0E"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sz w:val="28"/>
          <w:szCs w:val="28"/>
        </w:rPr>
        <w:t>Research Approach</w:t>
      </w:r>
      <w:r>
        <w:rPr>
          <w:rFonts w:ascii="Times New Roman" w:eastAsia="Times New Roman" w:hAnsi="Times New Roman" w:cs="Times New Roman"/>
        </w:rPr>
        <w:t>:</w:t>
      </w:r>
    </w:p>
    <w:p w14:paraId="534F1928"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paper adopts a qualitative, interdisciplinary approach, blending methods from ethnography, oral history, and textual analysis to examine the role of folklore in preserving the historical memory of the Rajbanshi, Toto, Rabha, Lepcha, and Limbu tribes of North Bengal. </w:t>
      </w:r>
      <w:r>
        <w:rPr>
          <w:rFonts w:ascii="Times New Roman" w:eastAsia="Times New Roman" w:hAnsi="Times New Roman" w:cs="Times New Roman"/>
        </w:rPr>
        <w:lastRenderedPageBreak/>
        <w:t>The study draws on both primary data collected through fieldwork and secondary data from published literature on tribal history, folklore, and ethnography.</w:t>
      </w:r>
    </w:p>
    <w:p w14:paraId="1C84E6EE" w14:textId="77777777" w:rsidR="003934E1" w:rsidRDefault="003934E1">
      <w:pPr>
        <w:spacing w:line="360" w:lineRule="auto"/>
        <w:jc w:val="both"/>
        <w:rPr>
          <w:rFonts w:ascii="Times New Roman" w:eastAsia="Times New Roman" w:hAnsi="Times New Roman" w:cs="Times New Roman"/>
          <w:sz w:val="28"/>
          <w:szCs w:val="28"/>
        </w:rPr>
      </w:pPr>
    </w:p>
    <w:p w14:paraId="319BF24F"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Fieldwork and Interviews:</w:t>
      </w:r>
    </w:p>
    <w:p w14:paraId="46AB7CDE"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Fieldwork was conducted in the tribal villages of North Bengal, particularly in areas where the Rajbanshi, Toto, Rabha, Lepcha, and Limbu communities reside. During fieldwork, oral history interviews were conducted with tribal elders, storytellers, and cultural practitioners. These interviews provided direct insights into the current state of folklore within these communities and the role of storytelling in maintaining historical memory.</w:t>
      </w:r>
    </w:p>
    <w:p w14:paraId="3BE22505"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interviews focused on identifying key narratives that reflect historical events such as migrations, conflicts, and resistance movements. Special attention was given to the performance of folklore during rituals and festivals, where stories are most frequently told. These field-based interviews were transcribed, and the stories were analysed for their historical significance, their connection to historical events, and their role in the ongoing preservation of tribal identity.</w:t>
      </w:r>
    </w:p>
    <w:p w14:paraId="6DB2F885" w14:textId="77777777" w:rsidR="003934E1" w:rsidRDefault="003934E1">
      <w:pPr>
        <w:spacing w:line="360" w:lineRule="auto"/>
        <w:jc w:val="both"/>
        <w:rPr>
          <w:rFonts w:ascii="Times New Roman" w:eastAsia="Times New Roman" w:hAnsi="Times New Roman" w:cs="Times New Roman"/>
          <w:sz w:val="28"/>
          <w:szCs w:val="28"/>
        </w:rPr>
      </w:pPr>
    </w:p>
    <w:p w14:paraId="05F50001" w14:textId="77777777" w:rsidR="003934E1" w:rsidRDefault="003934E1">
      <w:pPr>
        <w:spacing w:line="360" w:lineRule="auto"/>
        <w:jc w:val="both"/>
        <w:rPr>
          <w:rFonts w:ascii="Times New Roman" w:eastAsia="Times New Roman" w:hAnsi="Times New Roman" w:cs="Times New Roman"/>
          <w:sz w:val="28"/>
          <w:szCs w:val="28"/>
        </w:rPr>
      </w:pPr>
    </w:p>
    <w:p w14:paraId="230DD93E"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Textual Analysis:</w:t>
      </w:r>
    </w:p>
    <w:p w14:paraId="6553DFCF"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In addition to primary fieldwork, the research also reviewed existing ethnographic studies and tribal folklore collections published in books and articles. These sources provided important historical and cultural context, especially in regions where oral traditions were first documented by early anthropologists and historians.</w:t>
      </w:r>
    </w:p>
    <w:p w14:paraId="5DBE028E" w14:textId="77777777" w:rsidR="003934E1" w:rsidRDefault="003934E1">
      <w:pPr>
        <w:spacing w:line="360" w:lineRule="auto"/>
        <w:jc w:val="both"/>
        <w:rPr>
          <w:rFonts w:ascii="Times New Roman" w:eastAsia="Times New Roman" w:hAnsi="Times New Roman" w:cs="Times New Roman"/>
          <w:sz w:val="28"/>
          <w:szCs w:val="28"/>
        </w:rPr>
      </w:pPr>
    </w:p>
    <w:p w14:paraId="5D74F32D"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Challenges and Limitations:</w:t>
      </w:r>
    </w:p>
    <w:p w14:paraId="6AA1ED45"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A major challenge in this research was the fluidity of oral traditions. Folklore is not a static or fixed entity; it changes over time as storytellers adapt the narratives to reflect contemporary social and political circumstances. Another limitation was the language barrier; many interviews were conducted in local dialects, and translations sometimes posed difficulties in capturing the full nuance of the stories. However, these challenges were mitigated through collaboration with local linguists and cultural experts who assisted in preserving the integrity of the narratives.</w:t>
      </w:r>
    </w:p>
    <w:p w14:paraId="61186DCB" w14:textId="77777777" w:rsidR="003934E1" w:rsidRDefault="003934E1">
      <w:pPr>
        <w:spacing w:line="360" w:lineRule="auto"/>
        <w:jc w:val="both"/>
        <w:rPr>
          <w:rFonts w:ascii="Times New Roman" w:eastAsia="Times New Roman" w:hAnsi="Times New Roman" w:cs="Times New Roman"/>
          <w:sz w:val="28"/>
          <w:szCs w:val="28"/>
        </w:rPr>
      </w:pPr>
    </w:p>
    <w:p w14:paraId="0138FD03" w14:textId="77777777" w:rsidR="003934E1" w:rsidRDefault="0000000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IV. Analysing the Folklore of North Bengal’s Tribes</w:t>
      </w:r>
    </w:p>
    <w:p w14:paraId="024EFDA9"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folklore of North Bengal’s indigenous tribes—Rajbanshi, Toto, Rabha, Lepcha, and Limbu—offers profound insights into their cultural history, social dynamics, and historical memories. These stories, passed down orally over generations, not only provide entertainment but serve as vital historical documents that recount migration, resistance, and tribal governance. In this section, we will delve deeper into the various elements of tribal folklore and examine their historical and social significance, considering how these narratives preserve the past and shape the identity of these communities.</w:t>
      </w:r>
    </w:p>
    <w:p w14:paraId="2B65FE42" w14:textId="77777777" w:rsidR="003934E1" w:rsidRDefault="003934E1">
      <w:pPr>
        <w:spacing w:line="360" w:lineRule="auto"/>
        <w:jc w:val="both"/>
        <w:rPr>
          <w:rFonts w:ascii="Times New Roman" w:eastAsia="Times New Roman" w:hAnsi="Times New Roman" w:cs="Times New Roman"/>
          <w:sz w:val="28"/>
          <w:szCs w:val="28"/>
        </w:rPr>
      </w:pPr>
    </w:p>
    <w:p w14:paraId="02D8025B"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Rajbanshi Folklore: Migration and Dynastic Integration</w:t>
      </w:r>
    </w:p>
    <w:p w14:paraId="33DF161E"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Rajbanshi tribe, one of the most significant ethnic groups in North Bengal, has a rich folklore tradition that reflects the tribe’s deep-rooted history of migration and integration into the broader Bengal region. According to Rajbanshi legends, their ancestors originated from the Himalayan foothills and began a journey southward through the plains of Bengal. One of the most well-known migration myths of the Rajbanshi tribe is that of the ‘Madhab Ray’ legend, which speaks of a migration led by a mythical leader named Madhab Ray, believed to be a pivotal figure in Rajbanshi history.</w:t>
      </w:r>
    </w:p>
    <w:p w14:paraId="10604FD0"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myth recounts how Madhab Ray, with the blessings of the tribal gods, led the Rajbanshi people from the Himalayan region to the fertile plains of Bengal. This migration was fraught with challenges—rivers to cross, hostile kingdoms to bypass, and difficult terrains to navigate—but it is believed that the Rajbanshi survived these hardships due to their resilience and the divine protection they received from their gods.</w:t>
      </w:r>
    </w:p>
    <w:p w14:paraId="59E2954C"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Rajbanshi migration myth not only provides a glimpse into the historical journey of the tribe but also symbolizes their adaptation to new political and social landscapes. This oral history connects the Rajbanshi’s territorial roots in the hills to their later role in the Koch Bihar kingdom and the political alliances they formed with the Koch kings. It shows the tribe’s ability to negotiate power dynamics and navigate changing political landscapes, crucial aspects of their historical survival and integration into the Bengal region.</w:t>
      </w:r>
    </w:p>
    <w:p w14:paraId="648665AD"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Moreover, the Rajbanshi folklore often speaks of their association with royalty and dynastic change. The tale of King </w:t>
      </w:r>
      <w:proofErr w:type="spellStart"/>
      <w:r>
        <w:rPr>
          <w:rFonts w:ascii="Times New Roman" w:eastAsia="Times New Roman" w:hAnsi="Times New Roman" w:cs="Times New Roman"/>
        </w:rPr>
        <w:t>Naranarayan</w:t>
      </w:r>
      <w:proofErr w:type="spellEnd"/>
      <w:r>
        <w:rPr>
          <w:rFonts w:ascii="Times New Roman" w:eastAsia="Times New Roman" w:hAnsi="Times New Roman" w:cs="Times New Roman"/>
        </w:rPr>
        <w:t xml:space="preserve"> of Koch Bihar, a historical figure celebrated in Rajbanshi oral traditions, further highlights their integration into the kingdom. As oral stories recount, King </w:t>
      </w:r>
      <w:proofErr w:type="spellStart"/>
      <w:r>
        <w:rPr>
          <w:rFonts w:ascii="Times New Roman" w:eastAsia="Times New Roman" w:hAnsi="Times New Roman" w:cs="Times New Roman"/>
        </w:rPr>
        <w:t>Naranarayan’s</w:t>
      </w:r>
      <w:proofErr w:type="spellEnd"/>
      <w:r>
        <w:rPr>
          <w:rFonts w:ascii="Times New Roman" w:eastAsia="Times New Roman" w:hAnsi="Times New Roman" w:cs="Times New Roman"/>
        </w:rPr>
        <w:t xml:space="preserve"> patronage and support allowed the Rajbanshi to settle and cultivate the lands, providing them with a new social and political identity.</w:t>
      </w:r>
    </w:p>
    <w:p w14:paraId="12F79703" w14:textId="77777777" w:rsidR="003934E1" w:rsidRDefault="003934E1">
      <w:pPr>
        <w:spacing w:line="360" w:lineRule="auto"/>
        <w:jc w:val="both"/>
        <w:rPr>
          <w:rFonts w:ascii="Times New Roman" w:eastAsia="Times New Roman" w:hAnsi="Times New Roman" w:cs="Times New Roman"/>
        </w:rPr>
      </w:pPr>
    </w:p>
    <w:p w14:paraId="3F68F68D"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Toto Folklore: Resistance and Autonomy</w:t>
      </w:r>
    </w:p>
    <w:p w14:paraId="38C75C5C"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Toto tribe is a small but significant group located in the Do-oars region of North Bengal. Historically isolated, the </w:t>
      </w:r>
      <w:proofErr w:type="spellStart"/>
      <w:r>
        <w:rPr>
          <w:rFonts w:ascii="Times New Roman" w:eastAsia="Times New Roman" w:hAnsi="Times New Roman" w:cs="Times New Roman"/>
        </w:rPr>
        <w:t>Totos</w:t>
      </w:r>
      <w:proofErr w:type="spellEnd"/>
      <w:r>
        <w:rPr>
          <w:rFonts w:ascii="Times New Roman" w:eastAsia="Times New Roman" w:hAnsi="Times New Roman" w:cs="Times New Roman"/>
        </w:rPr>
        <w:t xml:space="preserve"> have preserved their folklore, which is rich with stories of resistance against external forces, particularly British colonialists. The folklore of the Toto tribe is notable for emphasizing agency and independence in the face of external aggression. One of the central figures in Toto folklore is the legendary Toto King, who is said to have led the tribe against British incursions.</w:t>
      </w:r>
    </w:p>
    <w:p w14:paraId="532F06CB"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most famous story from Toto folklore is that of the Toto King’s stand against the British Empire. The legend describes how the Toto King, a formidable leader who embodied the spirit of resistance, managed to maintain the autonomy of the Toto people even in the face of British military superiority. The stories recount that the Toto people were not only resistant to British military campaigns but also to the imposition of Western laws and economic systems that sought to undermine their traditional ways of life.</w:t>
      </w:r>
    </w:p>
    <w:p w14:paraId="4E247DA0"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In one particular narrative, the Toto King’s defiance is framed as a spiritual and political resistance, where the king consults the tribal shamans to seek divine guidance before taking any political action. This blend of spiritual and political resistance underlines the unique interplay between traditional governance and spirituality in the Toto community. Their folklore underscores the notion that resistance was not merely a political act but also a spiritual struggle, with the tribal gods playing an active role in protecting the land and people.</w:t>
      </w:r>
    </w:p>
    <w:p w14:paraId="68F441D5"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Toto resistance myth acts as a counter-narrative to the dominant colonial discourse, which often framed indigenous tribes as subjugated victims. In contrast, the Toto folklore depicts a vibrant and self-sustaining community that actively resisted colonial rule and sought to preserve their culture and autonomy. Through these stories, the Toto people assert their agency and role in shaping the region’s political history during the colonial period.</w:t>
      </w:r>
    </w:p>
    <w:p w14:paraId="7D8E78FE" w14:textId="77777777" w:rsidR="003934E1" w:rsidRDefault="003934E1">
      <w:pPr>
        <w:spacing w:line="360" w:lineRule="auto"/>
        <w:jc w:val="both"/>
        <w:rPr>
          <w:rFonts w:ascii="Times New Roman" w:eastAsia="Times New Roman" w:hAnsi="Times New Roman" w:cs="Times New Roman"/>
        </w:rPr>
      </w:pPr>
    </w:p>
    <w:p w14:paraId="5DC4A8B3"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Rabha Folklore: Heroism, Leadership, and Governance</w:t>
      </w:r>
    </w:p>
    <w:p w14:paraId="5C88C19A"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Rabha tribe, known for its strong communal identity and rich folklore, often focuses on the themes of leadership, heroism, and tribal governance. In Rabha folklore, the central characters are often tribal heroes who defend their people from external threats and guide them through times of crisis.</w:t>
      </w:r>
    </w:p>
    <w:p w14:paraId="05782457"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One of the most famous stories is that of Gajendra, a mythical hero who is said to have led the Rabha tribe in its early history. According to the folklore, Gajendra was a mighty leader who </w:t>
      </w:r>
      <w:r>
        <w:rPr>
          <w:rFonts w:ascii="Times New Roman" w:eastAsia="Times New Roman" w:hAnsi="Times New Roman" w:cs="Times New Roman"/>
        </w:rPr>
        <w:lastRenderedPageBreak/>
        <w:t xml:space="preserve">protected the Rabha lands from </w:t>
      </w:r>
      <w:proofErr w:type="spellStart"/>
      <w:r>
        <w:rPr>
          <w:rFonts w:ascii="Times New Roman" w:eastAsia="Times New Roman" w:hAnsi="Times New Roman" w:cs="Times New Roman"/>
        </w:rPr>
        <w:t>neighboring</w:t>
      </w:r>
      <w:proofErr w:type="spellEnd"/>
      <w:r>
        <w:rPr>
          <w:rFonts w:ascii="Times New Roman" w:eastAsia="Times New Roman" w:hAnsi="Times New Roman" w:cs="Times New Roman"/>
        </w:rPr>
        <w:t xml:space="preserve"> tribal raids and external invaders. The story of Gajendra’s bravery emphasizes not only the importance of individual leadership but also the concept of communal solidarity. It is said that during times of conflict, Gajendra would call upon his people to unite for the </w:t>
      </w:r>
      <w:proofErr w:type="spellStart"/>
      <w:r>
        <w:rPr>
          <w:rFonts w:ascii="Times New Roman" w:eastAsia="Times New Roman" w:hAnsi="Times New Roman" w:cs="Times New Roman"/>
        </w:rPr>
        <w:t>defense</w:t>
      </w:r>
      <w:proofErr w:type="spellEnd"/>
      <w:r>
        <w:rPr>
          <w:rFonts w:ascii="Times New Roman" w:eastAsia="Times New Roman" w:hAnsi="Times New Roman" w:cs="Times New Roman"/>
        </w:rPr>
        <w:t xml:space="preserve"> of their homeland, highlighting the importance of collective action.</w:t>
      </w:r>
    </w:p>
    <w:p w14:paraId="6D16C697"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Rabha folklore, the tribe’s tribal councils and elders play a significant role in decision-making, as depicted in stories about tribal justice. These stories often show the elders making wise decisions that reflect the tribe’s core values of justice, </w:t>
      </w:r>
      <w:proofErr w:type="spellStart"/>
      <w:r>
        <w:rPr>
          <w:rFonts w:ascii="Times New Roman" w:eastAsia="Times New Roman" w:hAnsi="Times New Roman" w:cs="Times New Roman"/>
        </w:rPr>
        <w:t>honor</w:t>
      </w:r>
      <w:proofErr w:type="spellEnd"/>
      <w:r>
        <w:rPr>
          <w:rFonts w:ascii="Times New Roman" w:eastAsia="Times New Roman" w:hAnsi="Times New Roman" w:cs="Times New Roman"/>
        </w:rPr>
        <w:t>, and social cohesion. For instance, the tale of the Rabha Council of Elders narrates how they resolved a dispute between two families by invoking the tribe’s moral and ethical principles, which helped restore peace within the community. These narratives demonstrate how oral law and tribal governance were intertwined, with folklore serving as a tool for preserving social order and maintaining the tribal identity.</w:t>
      </w:r>
    </w:p>
    <w:p w14:paraId="1DCD7669"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Moreover, the Rabha tribe’s folklore highlights their deep connection to nature and the forest. Stories about the forest deity and the sacred trees reflect the tribe’s reverence for the environment and their understanding of ecological balance. These myths show that the Rabha people not only fought to protect their land but also to preserve the harmony between humans and nature, a theme that remains central to their identity.</w:t>
      </w:r>
    </w:p>
    <w:p w14:paraId="6E444EAB" w14:textId="77777777" w:rsidR="003934E1" w:rsidRDefault="003934E1">
      <w:pPr>
        <w:spacing w:line="360" w:lineRule="auto"/>
        <w:jc w:val="both"/>
        <w:rPr>
          <w:rFonts w:ascii="Times New Roman" w:eastAsia="Times New Roman" w:hAnsi="Times New Roman" w:cs="Times New Roman"/>
        </w:rPr>
      </w:pPr>
    </w:p>
    <w:p w14:paraId="4D8ADC9F"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Lepcha and Limbu Folklore: Spirituality and Ecological Wisdom</w:t>
      </w:r>
    </w:p>
    <w:p w14:paraId="633EAC2E"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Lepcha and Limbu tribes of North Bengal have a profound spiritual connection to their landscape, and their folklore reflects an intimate relationship between the people and the natural world. The Lepcha creation myth is a key example of how tribal folklore incorporates spiritual beliefs to explain the origins of the world and humanity. According to this myth, the Lepcha people are the children of nature, born from the sacred mountains and rivers that dot the Himalayan foothills. Their origin story emphasizes the sacredness of their homeland and their duty to protect it.</w:t>
      </w:r>
    </w:p>
    <w:p w14:paraId="76605A8B"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Lepcha creation story </w:t>
      </w:r>
      <w:proofErr w:type="spellStart"/>
      <w:r>
        <w:rPr>
          <w:rFonts w:ascii="Times New Roman" w:eastAsia="Times New Roman" w:hAnsi="Times New Roman" w:cs="Times New Roman"/>
        </w:rPr>
        <w:t>centers</w:t>
      </w:r>
      <w:proofErr w:type="spellEnd"/>
      <w:r>
        <w:rPr>
          <w:rFonts w:ascii="Times New Roman" w:eastAsia="Times New Roman" w:hAnsi="Times New Roman" w:cs="Times New Roman"/>
        </w:rPr>
        <w:t xml:space="preserve"> around the figure of Pha Lam, the god who created the world. It is said that Pha Lam, with the help of various deities, shaped the mountains, rivers, and forests. The story also explains the origins of the Lepcha people, who are considered the custodians of these sacred spaces. This creation myth reinforces the Lepcha’s profound sense of belonging to the land and their role as protectors of the environment.</w:t>
      </w:r>
    </w:p>
    <w:p w14:paraId="697E6DAC"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Similarly, the Limbu folklore is replete with stories that emphasize the tribe’s relationship with mountains and forest spirits. One such myth is that of Sambhu Limbu, a legendary hero who is said to have defeated the evil spirits that were harming the natural world. In this narrative, Sambhu Limbu represents the tribal hero who is deeply connected to the land and its spiritual forces, reinforcing the tribe’s worldview that humans and nature are inseparable. The Limbu people, like the Lepcha, have a profound respect for their natural surroundings, and their folklore reflects an intricate spiritual-ecological connection.</w:t>
      </w:r>
    </w:p>
    <w:p w14:paraId="32423DF8"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Both the Lepcha and Limbu tribes view their mountains as sacred and central to their identity. Their folklore underscores the tribe’s commitment to sustainable living and ecological conservation. These tribes’ reverence for nature is not only a cultural aspect but also a political statement that highlights their role as guardians of the environment in an increasingly industrialized world.</w:t>
      </w:r>
    </w:p>
    <w:p w14:paraId="32502ECF" w14:textId="77777777" w:rsidR="003934E1" w:rsidRDefault="003934E1">
      <w:pPr>
        <w:spacing w:line="360" w:lineRule="auto"/>
        <w:jc w:val="both"/>
        <w:rPr>
          <w:rFonts w:ascii="Times New Roman" w:eastAsia="Times New Roman" w:hAnsi="Times New Roman" w:cs="Times New Roman"/>
        </w:rPr>
      </w:pPr>
    </w:p>
    <w:p w14:paraId="49207B43"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folklore of the indigenous tribes of North Bengal provides invaluable insights into their historical experiences and cultural practices. From the migration myths of the Rajbanshi to the resistance stories of the Toto, and from the heroic tales of the Rabha to the spiritual-ecological narratives of the Lepcha and Limbu, these stories offer a multifaceted view of history—one that is often excluded from mainstream historical records. Tribal folklore serves as a living repository of historical memory, offering narratives that complement and sometimes challenge the dominant colonial and national historiographies.</w:t>
      </w:r>
    </w:p>
    <w:p w14:paraId="7E259ECA"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Through these oral traditions, we see the agency and resilience of indigenous communities in shaping their histories. Folklore is not merely a cultural artifact but a dynamic and essential tool for understanding the complex social, political, and environmental interactions that have shaped the history of North Bengal. By analysing these stories, we not only learn about the past but also gain insights into the ongoing significance of tribal identity and resistance in the modern world.</w:t>
      </w:r>
    </w:p>
    <w:p w14:paraId="0449A957" w14:textId="77777777" w:rsidR="003934E1" w:rsidRDefault="003934E1">
      <w:pPr>
        <w:spacing w:line="360" w:lineRule="auto"/>
        <w:jc w:val="both"/>
        <w:rPr>
          <w:rFonts w:ascii="Times New Roman" w:eastAsia="Times New Roman" w:hAnsi="Times New Roman" w:cs="Times New Roman"/>
        </w:rPr>
      </w:pPr>
    </w:p>
    <w:p w14:paraId="18F22F1F" w14:textId="77777777" w:rsidR="003934E1" w:rsidRDefault="0000000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V. Folklore as a Historical Source</w:t>
      </w:r>
    </w:p>
    <w:p w14:paraId="1E067ACD"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the conventional study of history, particularly that shaped by colonial and post-colonial academic traditions, written records have been considered the most legitimate and reliable sources of knowledge. However, for communities that historically lacked a written script or whose voices were deliberately excluded from colonial and elite historical narratives, oral traditions—and specifically folklore—have served as the primary mode of historical </w:t>
      </w:r>
      <w:r>
        <w:rPr>
          <w:rFonts w:ascii="Times New Roman" w:eastAsia="Times New Roman" w:hAnsi="Times New Roman" w:cs="Times New Roman"/>
        </w:rPr>
        <w:lastRenderedPageBreak/>
        <w:t>transmission. Among the indigenous tribes of North Bengal, including the Rajbanshi, Toto, Rabha, Lepcha, and Limbu, folklore functions not merely as cultural expression but as an active historical archive, preserving the collective memory, political struggles, social transformations, and environmental relationships of these communities.</w:t>
      </w:r>
    </w:p>
    <w:p w14:paraId="79A1C956" w14:textId="77777777" w:rsidR="003934E1" w:rsidRDefault="003934E1">
      <w:pPr>
        <w:spacing w:line="360" w:lineRule="auto"/>
        <w:jc w:val="both"/>
        <w:rPr>
          <w:rFonts w:ascii="Times New Roman" w:eastAsia="Times New Roman" w:hAnsi="Times New Roman" w:cs="Times New Roman"/>
        </w:rPr>
      </w:pPr>
    </w:p>
    <w:p w14:paraId="4EB5D14B"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Folklore as a Medium of Historical Memory</w:t>
      </w:r>
    </w:p>
    <w:p w14:paraId="302AF70D"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According to Jan </w:t>
      </w:r>
      <w:proofErr w:type="spellStart"/>
      <w:r>
        <w:rPr>
          <w:rFonts w:ascii="Times New Roman" w:eastAsia="Times New Roman" w:hAnsi="Times New Roman" w:cs="Times New Roman"/>
        </w:rPr>
        <w:t>Vansina</w:t>
      </w:r>
      <w:proofErr w:type="spellEnd"/>
      <w:r>
        <w:rPr>
          <w:rFonts w:ascii="Times New Roman" w:eastAsia="Times New Roman" w:hAnsi="Times New Roman" w:cs="Times New Roman"/>
        </w:rPr>
        <w:t>, a pioneering scholar in the study of oral traditions, “oral tradition is a verbal message which is reported statement from the past beyond the present generation.” This definition places folklore squarely within the realm of historical inquiry, especially when considering tribal societies. For the tribes of North Bengal, folklore encodes their historical consciousness, ensuring that pivotal events such as migration, inter-tribal conflicts, colonial encounters, and spiritual revelations are remembered and transmitted.</w:t>
      </w:r>
    </w:p>
    <w:p w14:paraId="7B54682A" w14:textId="77777777" w:rsidR="003934E1" w:rsidRDefault="003934E1">
      <w:pPr>
        <w:spacing w:line="360" w:lineRule="auto"/>
        <w:jc w:val="both"/>
        <w:rPr>
          <w:rFonts w:ascii="Times New Roman" w:eastAsia="Times New Roman" w:hAnsi="Times New Roman" w:cs="Times New Roman"/>
        </w:rPr>
      </w:pPr>
    </w:p>
    <w:p w14:paraId="702D072B"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Take, for instance, the Rajbanshi migration stories. These narratives detail the community’s movement from the Himalayan foothills to the fertile plains of Bengal. Though undocumented in state archives, these stories provide a historical outline of geographical relocation, settlement, and integration into political kingdoms like Koch Bihar. Such stories are rich in references to landmarks, rivers, and dynasties, and can be triangulated with archaeological and administrative data to offer more holistic historical interpretations.</w:t>
      </w:r>
    </w:p>
    <w:p w14:paraId="0A78FCD4" w14:textId="77777777" w:rsidR="003934E1" w:rsidRDefault="003934E1">
      <w:pPr>
        <w:spacing w:line="360" w:lineRule="auto"/>
        <w:jc w:val="both"/>
        <w:rPr>
          <w:rFonts w:ascii="Times New Roman" w:eastAsia="Times New Roman" w:hAnsi="Times New Roman" w:cs="Times New Roman"/>
        </w:rPr>
      </w:pPr>
    </w:p>
    <w:p w14:paraId="5E87FC66"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Counter-Narratives to Colonial Historiography</w:t>
      </w:r>
    </w:p>
    <w:p w14:paraId="21EAB56A"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One of the most important functions of tribal folklore is its ability to offer counter-narratives—perspectives that challenge the dominant colonial representations of indigenous people. Colonial historians and administrators often portrayed tribes as ‘primitive,’ ‘uncivilized,’ and ‘ahistorical’, fit only to be governed and documented by others. Folklore, however, allows tribes to reclaim their agency by narrating their own version of history, often marked by resistance, resilience, and adaptation.</w:t>
      </w:r>
    </w:p>
    <w:p w14:paraId="443E6D9D" w14:textId="77777777" w:rsidR="003934E1" w:rsidRDefault="003934E1">
      <w:pPr>
        <w:spacing w:line="360" w:lineRule="auto"/>
        <w:jc w:val="both"/>
        <w:rPr>
          <w:rFonts w:ascii="Times New Roman" w:eastAsia="Times New Roman" w:hAnsi="Times New Roman" w:cs="Times New Roman"/>
        </w:rPr>
      </w:pPr>
    </w:p>
    <w:p w14:paraId="29FFEC2A"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Toto folklore of resistance against the British serves as a striking example. The oral narrative of the Toto King—who is said to have defied British attempts to encroach on tribal territory—stands in contrast to colonial records that largely ignore or marginalize such defiance. These narratives affirm the political acumen and military resistance of the </w:t>
      </w:r>
      <w:proofErr w:type="spellStart"/>
      <w:r>
        <w:rPr>
          <w:rFonts w:ascii="Times New Roman" w:eastAsia="Times New Roman" w:hAnsi="Times New Roman" w:cs="Times New Roman"/>
        </w:rPr>
        <w:t>Totos</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thereby positioning them as active historical subjects rather than passive entities caught in the tide of empire.</w:t>
      </w:r>
    </w:p>
    <w:p w14:paraId="5A13CFB6" w14:textId="77777777" w:rsidR="003934E1" w:rsidRDefault="003934E1">
      <w:pPr>
        <w:spacing w:line="360" w:lineRule="auto"/>
        <w:jc w:val="both"/>
        <w:rPr>
          <w:rFonts w:ascii="Times New Roman" w:eastAsia="Times New Roman" w:hAnsi="Times New Roman" w:cs="Times New Roman"/>
        </w:rPr>
      </w:pPr>
    </w:p>
    <w:p w14:paraId="45146BC2"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Moreover, Rabha legends of tribal governance and justice emphasize self-rule and communal decision-making, directly contradicting the colonial notion that tribal societies lacked structured systems of governance. Their tales of wise elders and tribal councils reflect indigenous political thought, challenging imposed systems of colonial administration.</w:t>
      </w:r>
    </w:p>
    <w:p w14:paraId="3B76C7DF" w14:textId="77777777" w:rsidR="003934E1" w:rsidRDefault="003934E1">
      <w:pPr>
        <w:spacing w:line="360" w:lineRule="auto"/>
        <w:jc w:val="both"/>
        <w:rPr>
          <w:rFonts w:ascii="Times New Roman" w:eastAsia="Times New Roman" w:hAnsi="Times New Roman" w:cs="Times New Roman"/>
        </w:rPr>
      </w:pPr>
    </w:p>
    <w:p w14:paraId="56DE7A0C"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Folklore as Repository of Environmental and Cultural History</w:t>
      </w:r>
    </w:p>
    <w:p w14:paraId="2FFCF581"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Besides political and social memory, folklore also functions as a source of ecological knowledge and cultural history. The Lepcha and Limbu tribes, in particular, encode vast ecological wisdom in their folklore. Stories of mountain spirits, forest deities, and sacred rivers are not only religious or metaphysical musings but reflections of how these communities historically understood and interacted with their environment.</w:t>
      </w:r>
    </w:p>
    <w:p w14:paraId="166312DC" w14:textId="77777777" w:rsidR="003934E1" w:rsidRDefault="003934E1">
      <w:pPr>
        <w:spacing w:line="360" w:lineRule="auto"/>
        <w:jc w:val="both"/>
        <w:rPr>
          <w:rFonts w:ascii="Times New Roman" w:eastAsia="Times New Roman" w:hAnsi="Times New Roman" w:cs="Times New Roman"/>
        </w:rPr>
      </w:pPr>
    </w:p>
    <w:p w14:paraId="71D72FDA"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For example, in Lepcha mythology, the sacred mountain </w:t>
      </w:r>
      <w:proofErr w:type="spellStart"/>
      <w:r>
        <w:rPr>
          <w:rFonts w:ascii="Times New Roman" w:eastAsia="Times New Roman" w:hAnsi="Times New Roman" w:cs="Times New Roman"/>
        </w:rPr>
        <w:t>Khangchendzonga</w:t>
      </w:r>
      <w:proofErr w:type="spellEnd"/>
      <w:r>
        <w:rPr>
          <w:rFonts w:ascii="Times New Roman" w:eastAsia="Times New Roman" w:hAnsi="Times New Roman" w:cs="Times New Roman"/>
        </w:rPr>
        <w:t xml:space="preserve"> is both a deity and a guardian. The mountain is central to their origin myths, rituals, and agricultural practices. Through these narratives, the Lepcha have passed down intricate knowledge of seasonal changes, crop patterns, and natural disasters—information that constitutes a form of environmental historiography. Similarly, Limbu songs (</w:t>
      </w:r>
      <w:proofErr w:type="spellStart"/>
      <w:r>
        <w:rPr>
          <w:rFonts w:ascii="Times New Roman" w:eastAsia="Times New Roman" w:hAnsi="Times New Roman" w:cs="Times New Roman"/>
        </w:rPr>
        <w:t>Mundhums</w:t>
      </w:r>
      <w:proofErr w:type="spellEnd"/>
      <w:r>
        <w:rPr>
          <w:rFonts w:ascii="Times New Roman" w:eastAsia="Times New Roman" w:hAnsi="Times New Roman" w:cs="Times New Roman"/>
        </w:rPr>
        <w:t>) serve both as spiritual guidance and historical chronicles, describing tribal migrations, inter-clan wars, and treaties.</w:t>
      </w:r>
    </w:p>
    <w:p w14:paraId="6753A54B" w14:textId="77777777" w:rsidR="003934E1" w:rsidRDefault="003934E1">
      <w:pPr>
        <w:spacing w:line="360" w:lineRule="auto"/>
        <w:jc w:val="both"/>
        <w:rPr>
          <w:rFonts w:ascii="Times New Roman" w:eastAsia="Times New Roman" w:hAnsi="Times New Roman" w:cs="Times New Roman"/>
        </w:rPr>
      </w:pPr>
    </w:p>
    <w:p w14:paraId="0EF92C0E"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In this way, tribal folklore reveals the interconnectedness of historical, environmental, and cultural spheres, demonstrating that for indigenous communities, history cannot be separated from the land, the cosmos, and collective memory.</w:t>
      </w:r>
    </w:p>
    <w:p w14:paraId="081BC797" w14:textId="77777777" w:rsidR="003934E1" w:rsidRDefault="003934E1">
      <w:pPr>
        <w:spacing w:line="360" w:lineRule="auto"/>
        <w:jc w:val="both"/>
        <w:rPr>
          <w:rFonts w:ascii="Times New Roman" w:eastAsia="Times New Roman" w:hAnsi="Times New Roman" w:cs="Times New Roman"/>
        </w:rPr>
      </w:pPr>
    </w:p>
    <w:p w14:paraId="2CC4AFAB"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Challenges of Interpretation and Validation</w:t>
      </w:r>
    </w:p>
    <w:p w14:paraId="1093F55C"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Despite its richness, using folklore as a historical source poses methodological challenges. Oral traditions are inherently dynamic, often evolving over time as they are passed down. This fluidity, however, does not invalidate them as historical sources; rather, it highlights their living nature, continuously adapted to suit the socio-political contexts of the present.</w:t>
      </w:r>
    </w:p>
    <w:p w14:paraId="173893C8" w14:textId="77777777" w:rsidR="003934E1" w:rsidRDefault="003934E1">
      <w:pPr>
        <w:spacing w:line="360" w:lineRule="auto"/>
        <w:jc w:val="both"/>
        <w:rPr>
          <w:rFonts w:ascii="Times New Roman" w:eastAsia="Times New Roman" w:hAnsi="Times New Roman" w:cs="Times New Roman"/>
        </w:rPr>
      </w:pPr>
    </w:p>
    <w:p w14:paraId="708A0C76"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Historians must therefore approach tribal folklore with sensitivity and rigor. As James C. Scott asserts in Domination and the Arts of Resistance, hidden transcripts—often found in folklore and myth—can reveal subaltern consciousness. Applying such theoretical frameworks allows us to interpret folklore not merely as myth but as encoded forms of resistance, memory, and identity.</w:t>
      </w:r>
    </w:p>
    <w:p w14:paraId="7B0CFC88" w14:textId="77777777" w:rsidR="003934E1" w:rsidRDefault="003934E1">
      <w:pPr>
        <w:spacing w:line="360" w:lineRule="auto"/>
        <w:jc w:val="both"/>
        <w:rPr>
          <w:rFonts w:ascii="Times New Roman" w:eastAsia="Times New Roman" w:hAnsi="Times New Roman" w:cs="Times New Roman"/>
        </w:rPr>
      </w:pPr>
    </w:p>
    <w:p w14:paraId="3C40DC60"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Moreover, integrating folklore with ethnographic, archaeological, and linguistic evidence can help validate and contextualize oral histories. For example, place names, seasonal festivals, and sacred rituals described in folklore often correspond with physical geography or historical references found in regional texts, thus supporting the credibility of oral sources.</w:t>
      </w:r>
    </w:p>
    <w:p w14:paraId="1F53292A" w14:textId="77777777" w:rsidR="003934E1" w:rsidRDefault="003934E1">
      <w:pPr>
        <w:spacing w:line="360" w:lineRule="auto"/>
        <w:jc w:val="both"/>
        <w:rPr>
          <w:rFonts w:ascii="Times New Roman" w:eastAsia="Times New Roman" w:hAnsi="Times New Roman" w:cs="Times New Roman"/>
        </w:rPr>
      </w:pPr>
    </w:p>
    <w:p w14:paraId="545F0560"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Folklore in the Construction of National Memory</w:t>
      </w:r>
    </w:p>
    <w:p w14:paraId="5C5E1AE6"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Indian historiography has long been criticized for its focus on the political elite, with little space for tribal contributions. In this context, folklore becomes a powerful tool for inclusive history writing. It allows for the incorporation of tribal voices into the national narrative, acknowledging their contributions to anti-colonial struggles, regional governance, and cultural diversity.</w:t>
      </w:r>
    </w:p>
    <w:p w14:paraId="213AE065" w14:textId="77777777" w:rsidR="003934E1" w:rsidRDefault="003934E1">
      <w:pPr>
        <w:spacing w:line="360" w:lineRule="auto"/>
        <w:jc w:val="both"/>
        <w:rPr>
          <w:rFonts w:ascii="Times New Roman" w:eastAsia="Times New Roman" w:hAnsi="Times New Roman" w:cs="Times New Roman"/>
        </w:rPr>
      </w:pPr>
    </w:p>
    <w:p w14:paraId="6ABF3950"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heroic figures in the folklore of North Bengal—like Madhab Ray (Rajbanshi), the Toto King, and Sambhu Limbu—can be viewed as historical agents whose stories provide a decentralized model of Indian history, where local resistance and indigenous worldviews hold equal weight to mainstream political events. This approach aligns with the emerging field of subaltern historiography, which seeks to write history “from below.”</w:t>
      </w:r>
    </w:p>
    <w:p w14:paraId="45069BDC" w14:textId="77777777" w:rsidR="003934E1" w:rsidRDefault="003934E1">
      <w:pPr>
        <w:spacing w:line="360" w:lineRule="auto"/>
        <w:jc w:val="both"/>
        <w:rPr>
          <w:rFonts w:ascii="Times New Roman" w:eastAsia="Times New Roman" w:hAnsi="Times New Roman" w:cs="Times New Roman"/>
        </w:rPr>
      </w:pPr>
    </w:p>
    <w:p w14:paraId="2996330C"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By legitimizing tribal folklore as a source, we also challenge the epistemological hierarchy that privileges written over oral knowledge, thereby making space for epistemic plurality in Indian historiography.</w:t>
      </w:r>
    </w:p>
    <w:p w14:paraId="02310AF6"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Folklore, particularly in the context of North Bengal’s tribal communities, is more than myth; it is memory, resistance, law, and history. It offers us an alternative epistemology—a way of knowing and remembering that defies the linear, document-based frameworks of colonial and nationalist history-writing. For tribes like the Rajbanshi, Toto, Rabha, Lepcha, and Limbu, oral traditions serve as living archives, preserving their experiences of migration, resistance, environmental stewardship, and cultural sovereignty.</w:t>
      </w:r>
    </w:p>
    <w:p w14:paraId="2E7E2A4D" w14:textId="77777777" w:rsidR="003934E1" w:rsidRDefault="003934E1">
      <w:pPr>
        <w:spacing w:line="360" w:lineRule="auto"/>
        <w:jc w:val="both"/>
        <w:rPr>
          <w:rFonts w:ascii="Times New Roman" w:eastAsia="Times New Roman" w:hAnsi="Times New Roman" w:cs="Times New Roman"/>
        </w:rPr>
      </w:pPr>
    </w:p>
    <w:p w14:paraId="3929A8E3"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In recognizing folklore as a historical source, scholars not only enrich the understanding of India’s complex past but also restore dignity and voice to communities whose histories have too often been silenced. This endeavour is not just about rewriting history—it is about reclaiming it.</w:t>
      </w:r>
    </w:p>
    <w:p w14:paraId="0E40DFF0" w14:textId="77777777" w:rsidR="003934E1" w:rsidRDefault="003934E1">
      <w:pPr>
        <w:spacing w:line="360" w:lineRule="auto"/>
        <w:jc w:val="both"/>
        <w:rPr>
          <w:rFonts w:ascii="Times New Roman" w:eastAsia="Times New Roman" w:hAnsi="Times New Roman" w:cs="Times New Roman"/>
        </w:rPr>
      </w:pPr>
    </w:p>
    <w:p w14:paraId="69DBBB00" w14:textId="77777777" w:rsidR="003934E1" w:rsidRDefault="0000000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VI. Conclusion </w:t>
      </w:r>
    </w:p>
    <w:p w14:paraId="2DA1CD69"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paper has shown that the folklore of North Bengal’s indigenous tribes is a crucial historical resource that provides unique insights into the contribution of indigenous communities to the broader history of India. Through the analysis of the Rajbanshi, Toto, Rabha, Lepcha, and Limbu tribes’ oral traditions, we have seen how folklore preserves the memory of migration, resistance, leadership, and tribal identity. These narratives reflect the agency of indigenous tribes in shaping their historical trajectories, often in contrast to the passive, victimhood narrative commonly presented in colonial history.</w:t>
      </w:r>
    </w:p>
    <w:p w14:paraId="335209E4"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By studying these oral traditions, we gain a deeper understanding of the historical experiences of marginalized groups in India and recognize the significance of indigenous contributions to the formation of India’s national identity. This research underscores the importance of incorporating folklore into national historiography to ensure a more inclusive and representative understanding of India’s past.</w:t>
      </w:r>
    </w:p>
    <w:p w14:paraId="6D523403"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study of tribal folklore challenges traditional narratives by highlighting the contributions of indigenous communities. It is clear that oral traditions should be acknowledged as legitimate sources of historical knowledge. Further research should continue to explore the relationship between oral history and written history, examining how these sources can be integrated to create a more comprehensive and multidimensional view of India’s past.</w:t>
      </w:r>
    </w:p>
    <w:p w14:paraId="05A23C2C"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There is much more to explore in terms of the intersection between tribal folklore and environmental history, particularly in the context of how these traditions inform sustainable practices and environmental governance. Additionally, more work is needed to investigate the role of oral traditions in the contemporary lives of indigenous communities and their role in preserving cultural heritage in an increasingly globalized world.</w:t>
      </w:r>
    </w:p>
    <w:p w14:paraId="3BEB18CF" w14:textId="77777777" w:rsidR="003934E1" w:rsidRDefault="003934E1">
      <w:pPr>
        <w:spacing w:line="360" w:lineRule="auto"/>
        <w:jc w:val="both"/>
        <w:rPr>
          <w:rFonts w:ascii="Times New Roman" w:eastAsia="Times New Roman" w:hAnsi="Times New Roman" w:cs="Times New Roman"/>
        </w:rPr>
      </w:pPr>
    </w:p>
    <w:p w14:paraId="45239936" w14:textId="77777777" w:rsidR="003934E1" w:rsidRDefault="00000000">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Works Cited </w:t>
      </w:r>
    </w:p>
    <w:p w14:paraId="01B9888F"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Barman, K. C. (2018). Folk literature among the </w:t>
      </w:r>
      <w:proofErr w:type="spellStart"/>
      <w:r>
        <w:rPr>
          <w:rFonts w:ascii="Times New Roman" w:eastAsia="Times New Roman" w:hAnsi="Times New Roman" w:cs="Times New Roman"/>
        </w:rPr>
        <w:t>Rajbanshis</w:t>
      </w:r>
      <w:proofErr w:type="spellEnd"/>
      <w:r>
        <w:rPr>
          <w:rFonts w:ascii="Times New Roman" w:eastAsia="Times New Roman" w:hAnsi="Times New Roman" w:cs="Times New Roman"/>
        </w:rPr>
        <w:t xml:space="preserve"> of West Dinajpur: A brief study. </w:t>
      </w:r>
      <w:r>
        <w:rPr>
          <w:rFonts w:ascii="Times New Roman" w:eastAsia="Times New Roman" w:hAnsi="Times New Roman" w:cs="Times New Roman"/>
          <w:i/>
        </w:rPr>
        <w:t>International Journal of Research &amp; Analytical Reviews, 5</w:t>
      </w:r>
      <w:r>
        <w:rPr>
          <w:rFonts w:ascii="Times New Roman" w:eastAsia="Times New Roman" w:hAnsi="Times New Roman" w:cs="Times New Roman"/>
        </w:rPr>
        <w:t xml:space="preserve">(4). </w:t>
      </w:r>
      <w:hyperlink r:id="rId19">
        <w:r w:rsidR="003934E1">
          <w:rPr>
            <w:rFonts w:ascii="Times New Roman" w:eastAsia="Times New Roman" w:hAnsi="Times New Roman" w:cs="Times New Roman"/>
            <w:color w:val="0563C1"/>
            <w:u w:val="single"/>
          </w:rPr>
          <w:t>http://ijrar.com/</w:t>
        </w:r>
      </w:hyperlink>
    </w:p>
    <w:p w14:paraId="45B8848E"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Basu, H. (2007). Violent rituals: Rituals of violence and political power in tribal India. Social Analysis, 51(1), 118–143</w:t>
      </w:r>
      <w:hyperlink r:id="rId20">
        <w:r w:rsidR="003934E1">
          <w:rPr>
            <w:rFonts w:ascii="Times New Roman" w:eastAsia="Times New Roman" w:hAnsi="Times New Roman" w:cs="Times New Roman"/>
            <w:color w:val="0563C1"/>
            <w:u w:val="single"/>
          </w:rPr>
          <w:t>. https://doi.org/10.3167/sa.2007.510106</w:t>
        </w:r>
      </w:hyperlink>
    </w:p>
    <w:p w14:paraId="52C214AD"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Bentley, J. (2007). Vanishing Lepcha: Change and cultural revival in a mountain community of Sikkim. </w:t>
      </w:r>
      <w:r>
        <w:rPr>
          <w:rFonts w:ascii="Times New Roman" w:eastAsia="Times New Roman" w:hAnsi="Times New Roman" w:cs="Times New Roman"/>
          <w:i/>
        </w:rPr>
        <w:t>Bulletin of Tibetology, 43</w:t>
      </w:r>
      <w:r>
        <w:rPr>
          <w:rFonts w:ascii="Times New Roman" w:eastAsia="Times New Roman" w:hAnsi="Times New Roman" w:cs="Times New Roman"/>
        </w:rPr>
        <w:t>, 59–79.</w:t>
      </w:r>
    </w:p>
    <w:p w14:paraId="7AA02090"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Bentley, J. (2008). </w:t>
      </w:r>
      <w:proofErr w:type="spellStart"/>
      <w:r>
        <w:rPr>
          <w:rFonts w:ascii="Times New Roman" w:eastAsia="Times New Roman" w:hAnsi="Times New Roman" w:cs="Times New Roman"/>
        </w:rPr>
        <w:t>Láso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Múng</w:t>
      </w:r>
      <w:proofErr w:type="spellEnd"/>
      <w:r>
        <w:rPr>
          <w:rFonts w:ascii="Times New Roman" w:eastAsia="Times New Roman" w:hAnsi="Times New Roman" w:cs="Times New Roman"/>
        </w:rPr>
        <w:t xml:space="preserve"> Sung: Lepcha oral tradition as a reflexion of culture. </w:t>
      </w:r>
      <w:r>
        <w:rPr>
          <w:rFonts w:ascii="Times New Roman" w:eastAsia="Times New Roman" w:hAnsi="Times New Roman" w:cs="Times New Roman"/>
          <w:i/>
        </w:rPr>
        <w:t>Bulletin of Tibetology,44</w:t>
      </w:r>
      <w:r>
        <w:rPr>
          <w:rFonts w:ascii="Times New Roman" w:eastAsia="Times New Roman" w:hAnsi="Times New Roman" w:cs="Times New Roman"/>
        </w:rPr>
        <w:t xml:space="preserve">(1–2). Namgyal Institute of Tibetology. </w:t>
      </w:r>
      <w:hyperlink r:id="rId21">
        <w:r w:rsidR="003934E1">
          <w:rPr>
            <w:rFonts w:ascii="Times New Roman" w:eastAsia="Times New Roman" w:hAnsi="Times New Roman" w:cs="Times New Roman"/>
            <w:color w:val="0563C1"/>
            <w:u w:val="single"/>
          </w:rPr>
          <w:t>http://www.himalaya.socanth.cam.ac.uk/collections/journals/bot/pdf/bot_2008_01-02_05.pdf</w:t>
        </w:r>
      </w:hyperlink>
    </w:p>
    <w:p w14:paraId="6C0E2DD8" w14:textId="77777777" w:rsidR="003934E1" w:rsidRDefault="00000000">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Béteille</w:t>
      </w:r>
      <w:proofErr w:type="spellEnd"/>
      <w:r>
        <w:rPr>
          <w:rFonts w:ascii="Times New Roman" w:eastAsia="Times New Roman" w:hAnsi="Times New Roman" w:cs="Times New Roman"/>
        </w:rPr>
        <w:t xml:space="preserve">, A. (1998). The idea of indigenous people. Current Anthropology, 39(2), 187–192. </w:t>
      </w:r>
      <w:hyperlink r:id="rId22">
        <w:r w:rsidR="003934E1">
          <w:rPr>
            <w:rFonts w:ascii="Times New Roman" w:eastAsia="Times New Roman" w:hAnsi="Times New Roman" w:cs="Times New Roman"/>
            <w:color w:val="0563C1"/>
            <w:u w:val="single"/>
          </w:rPr>
          <w:t>https://doi.org/10.1086/204720</w:t>
        </w:r>
      </w:hyperlink>
    </w:p>
    <w:p w14:paraId="7701A922" w14:textId="77777777" w:rsidR="003934E1" w:rsidRDefault="00000000">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Bhawal</w:t>
      </w:r>
      <w:proofErr w:type="spellEnd"/>
      <w:r>
        <w:rPr>
          <w:rFonts w:ascii="Times New Roman" w:eastAsia="Times New Roman" w:hAnsi="Times New Roman" w:cs="Times New Roman"/>
        </w:rPr>
        <w:t xml:space="preserve">, P. (2015). Evolution of Rajbanshi society: A historical assessment. </w:t>
      </w:r>
      <w:r>
        <w:rPr>
          <w:rFonts w:ascii="Times New Roman" w:eastAsia="Times New Roman" w:hAnsi="Times New Roman" w:cs="Times New Roman"/>
          <w:i/>
        </w:rPr>
        <w:t>IOSR Journal of Humanities and Social Science, 20</w:t>
      </w:r>
      <w:r>
        <w:rPr>
          <w:rFonts w:ascii="Times New Roman" w:eastAsia="Times New Roman" w:hAnsi="Times New Roman" w:cs="Times New Roman"/>
        </w:rPr>
        <w:t xml:space="preserve">(10:1). </w:t>
      </w:r>
      <w:hyperlink r:id="rId23">
        <w:r w:rsidR="003934E1">
          <w:rPr>
            <w:rFonts w:ascii="Times New Roman" w:eastAsia="Times New Roman" w:hAnsi="Times New Roman" w:cs="Times New Roman"/>
            <w:color w:val="0563C1"/>
            <w:u w:val="single"/>
          </w:rPr>
          <w:t>http://www.iosrjournals.org</w:t>
        </w:r>
      </w:hyperlink>
    </w:p>
    <w:p w14:paraId="15C26C53"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Bhattacharya, A. (1966). </w:t>
      </w:r>
      <w:r>
        <w:rPr>
          <w:rFonts w:ascii="Times New Roman" w:eastAsia="Times New Roman" w:hAnsi="Times New Roman" w:cs="Times New Roman"/>
          <w:i/>
        </w:rPr>
        <w:t>Folklore of Bengal</w:t>
      </w:r>
      <w:r>
        <w:rPr>
          <w:rFonts w:ascii="Times New Roman" w:eastAsia="Times New Roman" w:hAnsi="Times New Roman" w:cs="Times New Roman"/>
        </w:rPr>
        <w:t xml:space="preserve">. </w:t>
      </w:r>
      <w:proofErr w:type="spellStart"/>
      <w:r>
        <w:rPr>
          <w:rFonts w:ascii="Times New Roman" w:eastAsia="Times New Roman" w:hAnsi="Times New Roman" w:cs="Times New Roman"/>
        </w:rPr>
        <w:t>Firma</w:t>
      </w:r>
      <w:proofErr w:type="spellEnd"/>
      <w:r>
        <w:rPr>
          <w:rFonts w:ascii="Times New Roman" w:eastAsia="Times New Roman" w:hAnsi="Times New Roman" w:cs="Times New Roman"/>
        </w:rPr>
        <w:t xml:space="preserve"> KLM.</w:t>
      </w:r>
    </w:p>
    <w:p w14:paraId="5EC26013"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Bhattacharya, N. (2001). Writing history: Essays on epistemology. Oxford University Press.</w:t>
      </w:r>
    </w:p>
    <w:p w14:paraId="61ECB462"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Chakrabarty, D. (2000). Provincializing Europe: Postcolonial thought and historical difference. Princeton University Press.</w:t>
      </w:r>
    </w:p>
    <w:p w14:paraId="50D0FAA1"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Chattopadhyay, T. (1990). </w:t>
      </w:r>
      <w:r>
        <w:rPr>
          <w:rFonts w:ascii="Times New Roman" w:eastAsia="Times New Roman" w:hAnsi="Times New Roman" w:cs="Times New Roman"/>
          <w:i/>
        </w:rPr>
        <w:t>Lepchas and their heritage</w:t>
      </w:r>
      <w:r>
        <w:rPr>
          <w:rFonts w:ascii="Times New Roman" w:eastAsia="Times New Roman" w:hAnsi="Times New Roman" w:cs="Times New Roman"/>
        </w:rPr>
        <w:t>. B. R. Publishing Corporation.</w:t>
      </w:r>
    </w:p>
    <w:p w14:paraId="7C2BC2F5"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Devy, G. N. (2011). </w:t>
      </w:r>
      <w:r>
        <w:rPr>
          <w:rFonts w:ascii="Times New Roman" w:eastAsia="Times New Roman" w:hAnsi="Times New Roman" w:cs="Times New Roman"/>
          <w:i/>
        </w:rPr>
        <w:t>A nomad called thief: Reflections on Adivasi silence</w:t>
      </w:r>
      <w:r>
        <w:rPr>
          <w:rFonts w:ascii="Times New Roman" w:eastAsia="Times New Roman" w:hAnsi="Times New Roman" w:cs="Times New Roman"/>
        </w:rPr>
        <w:t xml:space="preserve"> (1st ed.). Orient Longman </w:t>
      </w:r>
      <w:proofErr w:type="spellStart"/>
      <w:r>
        <w:rPr>
          <w:rFonts w:ascii="Times New Roman" w:eastAsia="Times New Roman" w:hAnsi="Times New Roman" w:cs="Times New Roman"/>
        </w:rPr>
        <w:t>Pvt.</w:t>
      </w:r>
      <w:proofErr w:type="spellEnd"/>
      <w:r>
        <w:rPr>
          <w:rFonts w:ascii="Times New Roman" w:eastAsia="Times New Roman" w:hAnsi="Times New Roman" w:cs="Times New Roman"/>
        </w:rPr>
        <w:t xml:space="preserve"> Ltd.</w:t>
      </w:r>
    </w:p>
    <w:p w14:paraId="35E3345B"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Dutta, P. C. (1995). Folklore of the </w:t>
      </w:r>
      <w:proofErr w:type="spellStart"/>
      <w:r>
        <w:rPr>
          <w:rFonts w:ascii="Times New Roman" w:eastAsia="Times New Roman" w:hAnsi="Times New Roman" w:cs="Times New Roman"/>
        </w:rPr>
        <w:t>Rajbanshis</w:t>
      </w:r>
      <w:proofErr w:type="spellEnd"/>
      <w:r>
        <w:rPr>
          <w:rFonts w:ascii="Times New Roman" w:eastAsia="Times New Roman" w:hAnsi="Times New Roman" w:cs="Times New Roman"/>
        </w:rPr>
        <w:t xml:space="preserve"> and their cultural history. North Bengal University Press.</w:t>
      </w:r>
    </w:p>
    <w:p w14:paraId="685C4A91"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Ghosh, G. K. (2008). Tribes of North-East India: Identity, culture, and language. APH Publishing.</w:t>
      </w:r>
    </w:p>
    <w:p w14:paraId="37A58FC4"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Lama, M. P. (1994). The Lepchas: Culture and society. Indian Anthropological Society.</w:t>
      </w:r>
    </w:p>
    <w:p w14:paraId="65892C0A" w14:textId="77777777" w:rsidR="003934E1" w:rsidRDefault="00000000">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Limboo</w:t>
      </w:r>
      <w:proofErr w:type="spellEnd"/>
      <w:r>
        <w:rPr>
          <w:rFonts w:ascii="Times New Roman" w:eastAsia="Times New Roman" w:hAnsi="Times New Roman" w:cs="Times New Roman"/>
        </w:rPr>
        <w:t>, P. S. (2010). The oral literature of the Limbus: A study. Akansha Publishing House.</w:t>
      </w:r>
    </w:p>
    <w:p w14:paraId="5A6B73AB"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Mishra, M. K. (2016). Tribal folklore and oral tradition. </w:t>
      </w:r>
      <w:proofErr w:type="spellStart"/>
      <w:r>
        <w:rPr>
          <w:rFonts w:ascii="Times New Roman" w:eastAsia="Times New Roman" w:hAnsi="Times New Roman" w:cs="Times New Roman"/>
          <w:i/>
        </w:rPr>
        <w:t>Lokaratna</w:t>
      </w:r>
      <w:proofErr w:type="spellEnd"/>
      <w:r>
        <w:rPr>
          <w:rFonts w:ascii="Times New Roman" w:eastAsia="Times New Roman" w:hAnsi="Times New Roman" w:cs="Times New Roman"/>
          <w:i/>
        </w:rPr>
        <w:t>, IX</w:t>
      </w:r>
      <w:r>
        <w:rPr>
          <w:rFonts w:ascii="Times New Roman" w:eastAsia="Times New Roman" w:hAnsi="Times New Roman" w:cs="Times New Roman"/>
        </w:rPr>
        <w:t xml:space="preserve">. Folklore Foundation, India. </w:t>
      </w:r>
    </w:p>
    <w:p w14:paraId="67414082" w14:textId="77777777" w:rsidR="003934E1" w:rsidRDefault="003934E1">
      <w:pPr>
        <w:spacing w:line="360" w:lineRule="auto"/>
        <w:jc w:val="both"/>
        <w:rPr>
          <w:rFonts w:ascii="Times New Roman" w:eastAsia="Times New Roman" w:hAnsi="Times New Roman" w:cs="Times New Roman"/>
        </w:rPr>
      </w:pPr>
      <w:hyperlink r:id="rId24">
        <w:r>
          <w:rPr>
            <w:rFonts w:ascii="Times New Roman" w:eastAsia="Times New Roman" w:hAnsi="Times New Roman" w:cs="Times New Roman"/>
            <w:color w:val="0563C1"/>
            <w:u w:val="single"/>
          </w:rPr>
          <w:t>https://www.researchgate.net/publication/299537938_Lokaratna_is_the_E-_journal_of_Folklore_Foundation_India_This_is_the_IXth_Volume_containing_articles_and_well_researched_papers_on_culture_folklore_language_pedagogy_art_oral_epic_and_myths_riddles_dr</w:t>
        </w:r>
      </w:hyperlink>
    </w:p>
    <w:p w14:paraId="4D54AFD1"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Roy, S. C. (2006). The Rabhas of Assam. Anthropological Survey of India.</w:t>
      </w:r>
    </w:p>
    <w:p w14:paraId="44E9B0AE"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Scott, J. C. (1990). Domination and the arts of resistance: Hidden transcripts. Yale University Press.</w:t>
      </w:r>
    </w:p>
    <w:p w14:paraId="542BCF30"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Sen, S. (2006). Tribes of North Bengal: Problems and prospects. Indian Journal of Regional Studies, 28(1), 33–45.</w:t>
      </w:r>
    </w:p>
    <w:p w14:paraId="2FB84552" w14:textId="77777777" w:rsidR="003934E1" w:rsidRDefault="00000000">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Tamsang</w:t>
      </w:r>
      <w:proofErr w:type="spellEnd"/>
      <w:r>
        <w:rPr>
          <w:rFonts w:ascii="Times New Roman" w:eastAsia="Times New Roman" w:hAnsi="Times New Roman" w:cs="Times New Roman"/>
        </w:rPr>
        <w:t xml:space="preserve">, L. (2000). </w:t>
      </w:r>
      <w:r>
        <w:rPr>
          <w:rFonts w:ascii="Times New Roman" w:eastAsia="Times New Roman" w:hAnsi="Times New Roman" w:cs="Times New Roman"/>
          <w:i/>
        </w:rPr>
        <w:t>Lepcha folklore and folk songs</w:t>
      </w:r>
      <w:r>
        <w:rPr>
          <w:rFonts w:ascii="Times New Roman" w:eastAsia="Times New Roman" w:hAnsi="Times New Roman" w:cs="Times New Roman"/>
        </w:rPr>
        <w:t xml:space="preserve">. Sahitya </w:t>
      </w:r>
      <w:proofErr w:type="spellStart"/>
      <w:r>
        <w:rPr>
          <w:rFonts w:ascii="Times New Roman" w:eastAsia="Times New Roman" w:hAnsi="Times New Roman" w:cs="Times New Roman"/>
        </w:rPr>
        <w:t>Akademi</w:t>
      </w:r>
      <w:proofErr w:type="spellEnd"/>
      <w:r>
        <w:rPr>
          <w:rFonts w:ascii="Times New Roman" w:eastAsia="Times New Roman" w:hAnsi="Times New Roman" w:cs="Times New Roman"/>
        </w:rPr>
        <w:t>.</w:t>
      </w:r>
    </w:p>
    <w:p w14:paraId="4B482F4F" w14:textId="77777777" w:rsidR="003934E1" w:rsidRDefault="00000000">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Vansina</w:t>
      </w:r>
      <w:proofErr w:type="spellEnd"/>
      <w:r>
        <w:rPr>
          <w:rFonts w:ascii="Times New Roman" w:eastAsia="Times New Roman" w:hAnsi="Times New Roman" w:cs="Times New Roman"/>
        </w:rPr>
        <w:t>, J. (1985). Oral tradition as history. University of Wisconsin Press.</w:t>
      </w:r>
    </w:p>
    <w:p w14:paraId="2B4BBF58" w14:textId="77777777" w:rsidR="003934E1" w:rsidRDefault="00000000">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V. (2005). Politics of language, religion and identity: Tribes in India. Economic and Political Weekly, 40(13), 1363–1370.</w:t>
      </w:r>
    </w:p>
    <w:p w14:paraId="13F85E0D" w14:textId="77777777" w:rsidR="003934E1" w:rsidRDefault="003934E1">
      <w:pPr>
        <w:spacing w:line="360" w:lineRule="auto"/>
        <w:jc w:val="both"/>
        <w:rPr>
          <w:rFonts w:ascii="Times New Roman" w:eastAsia="Times New Roman" w:hAnsi="Times New Roman" w:cs="Times New Roman"/>
        </w:rPr>
      </w:pPr>
    </w:p>
    <w:p w14:paraId="3A3CCC59"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 xml:space="preserve">**Disclaimer: </w:t>
      </w:r>
      <w:r>
        <w:rPr>
          <w:rFonts w:ascii="Times New Roman" w:eastAsia="Times New Roman" w:hAnsi="Times New Roman" w:cs="Times New Roman"/>
        </w:rPr>
        <w:t>Some arguments in this research article form a part of my (</w:t>
      </w:r>
      <w:r>
        <w:rPr>
          <w:rFonts w:ascii="Times New Roman" w:eastAsia="Times New Roman" w:hAnsi="Times New Roman" w:cs="Times New Roman"/>
          <w:i/>
        </w:rPr>
        <w:t>Anindita Saha</w:t>
      </w:r>
      <w:r>
        <w:rPr>
          <w:rFonts w:ascii="Times New Roman" w:eastAsia="Times New Roman" w:hAnsi="Times New Roman" w:cs="Times New Roman"/>
        </w:rPr>
        <w:t>) PhD thesis.</w:t>
      </w:r>
    </w:p>
    <w:p w14:paraId="497851F1" w14:textId="77777777" w:rsidR="003934E1" w:rsidRDefault="003934E1">
      <w:pPr>
        <w:jc w:val="both"/>
        <w:rPr>
          <w:rFonts w:ascii="Times New Roman" w:eastAsia="Times New Roman" w:hAnsi="Times New Roman" w:cs="Times New Roman"/>
          <w:b/>
        </w:rPr>
      </w:pPr>
    </w:p>
    <w:p w14:paraId="27EC5BB3" w14:textId="77777777" w:rsidR="003934E1" w:rsidRDefault="003934E1">
      <w:pPr>
        <w:jc w:val="both"/>
        <w:rPr>
          <w:rFonts w:ascii="Times New Roman" w:eastAsia="Times New Roman" w:hAnsi="Times New Roman" w:cs="Times New Roman"/>
          <w:b/>
        </w:rPr>
      </w:pPr>
    </w:p>
    <w:p w14:paraId="3186B101" w14:textId="77777777" w:rsidR="003934E1" w:rsidRDefault="003934E1">
      <w:pPr>
        <w:jc w:val="both"/>
        <w:rPr>
          <w:rFonts w:ascii="Times New Roman" w:eastAsia="Times New Roman" w:hAnsi="Times New Roman" w:cs="Times New Roman"/>
          <w:b/>
        </w:rPr>
      </w:pPr>
    </w:p>
    <w:p w14:paraId="17413813" w14:textId="77777777" w:rsidR="003934E1" w:rsidRDefault="003934E1">
      <w:pPr>
        <w:jc w:val="both"/>
        <w:rPr>
          <w:rFonts w:ascii="Times New Roman" w:eastAsia="Times New Roman" w:hAnsi="Times New Roman" w:cs="Times New Roman"/>
          <w:b/>
        </w:rPr>
      </w:pPr>
    </w:p>
    <w:p w14:paraId="3C10FA08" w14:textId="77777777" w:rsidR="003934E1" w:rsidRDefault="003934E1">
      <w:pPr>
        <w:jc w:val="both"/>
        <w:rPr>
          <w:rFonts w:ascii="Times New Roman" w:eastAsia="Times New Roman" w:hAnsi="Times New Roman" w:cs="Times New Roman"/>
          <w:b/>
        </w:rPr>
      </w:pPr>
    </w:p>
    <w:p w14:paraId="7254E988" w14:textId="77777777" w:rsidR="003934E1" w:rsidRDefault="003934E1">
      <w:pPr>
        <w:jc w:val="both"/>
        <w:rPr>
          <w:rFonts w:ascii="Times New Roman" w:eastAsia="Times New Roman" w:hAnsi="Times New Roman" w:cs="Times New Roman"/>
          <w:b/>
        </w:rPr>
      </w:pPr>
    </w:p>
    <w:p w14:paraId="3E900470" w14:textId="77777777" w:rsidR="003934E1" w:rsidRDefault="003934E1">
      <w:pPr>
        <w:jc w:val="both"/>
        <w:rPr>
          <w:rFonts w:ascii="Times New Roman" w:eastAsia="Times New Roman" w:hAnsi="Times New Roman" w:cs="Times New Roman"/>
          <w:b/>
        </w:rPr>
      </w:pPr>
    </w:p>
    <w:p w14:paraId="36070418" w14:textId="77777777" w:rsidR="003934E1" w:rsidRDefault="00000000">
      <w:pPr>
        <w:spacing w:after="16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Harshvardhan Goutam,</w:t>
      </w:r>
    </w:p>
    <w:p w14:paraId="4634EA87" w14:textId="77777777" w:rsidR="003934E1" w:rsidRDefault="00000000">
      <w:pPr>
        <w:spacing w:after="16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Ph.D. Research Scholar,</w:t>
      </w:r>
    </w:p>
    <w:p w14:paraId="771626C4" w14:textId="77777777" w:rsidR="003934E1" w:rsidRDefault="00000000">
      <w:pPr>
        <w:spacing w:after="16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Faculty of Law,</w:t>
      </w:r>
    </w:p>
    <w:p w14:paraId="27DA125C" w14:textId="77777777" w:rsidR="003934E1" w:rsidRDefault="00000000">
      <w:pPr>
        <w:spacing w:after="16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University of Delhi,</w:t>
      </w:r>
    </w:p>
    <w:p w14:paraId="73FF0F23" w14:textId="77777777" w:rsidR="003934E1" w:rsidRDefault="00000000">
      <w:pPr>
        <w:spacing w:after="16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New Delhi, India.</w:t>
      </w:r>
    </w:p>
    <w:p w14:paraId="1AF4A901" w14:textId="77777777" w:rsidR="003934E1" w:rsidRDefault="00000000">
      <w:pPr>
        <w:spacing w:after="16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Contact Details: +918289012260</w:t>
      </w:r>
    </w:p>
    <w:p w14:paraId="3704456F" w14:textId="77777777" w:rsidR="003934E1" w:rsidRDefault="00000000">
      <w:pPr>
        <w:spacing w:after="160" w:line="36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Email: </w:t>
      </w:r>
      <w:hyperlink r:id="rId25">
        <w:r w:rsidR="003934E1">
          <w:rPr>
            <w:rFonts w:ascii="Times New Roman" w:eastAsia="Times New Roman" w:hAnsi="Times New Roman" w:cs="Times New Roman"/>
            <w:color w:val="0563C1"/>
            <w:sz w:val="28"/>
            <w:szCs w:val="28"/>
            <w:u w:val="single"/>
          </w:rPr>
          <w:t>hgoutam.phd2025@law.du.ac.in</w:t>
        </w:r>
      </w:hyperlink>
      <w:r>
        <w:rPr>
          <w:rFonts w:ascii="Times New Roman" w:eastAsia="Times New Roman" w:hAnsi="Times New Roman" w:cs="Times New Roman"/>
          <w:sz w:val="28"/>
          <w:szCs w:val="28"/>
        </w:rPr>
        <w:t xml:space="preserve">. </w:t>
      </w:r>
    </w:p>
    <w:p w14:paraId="39E88466" w14:textId="77777777" w:rsidR="003934E1" w:rsidRDefault="00000000">
      <w:pPr>
        <w:spacing w:after="160" w:line="360" w:lineRule="auto"/>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“Indigenous culture of Gond Tribe in Madhya Pradesh: Preserving Identity through Rituals, Arts and Festivals”</w:t>
      </w:r>
    </w:p>
    <w:p w14:paraId="282C0510" w14:textId="77777777" w:rsidR="003934E1" w:rsidRDefault="003934E1">
      <w:pPr>
        <w:spacing w:after="160" w:line="360" w:lineRule="auto"/>
        <w:jc w:val="center"/>
        <w:rPr>
          <w:rFonts w:ascii="Times New Roman" w:eastAsia="Times New Roman" w:hAnsi="Times New Roman" w:cs="Times New Roman"/>
          <w:sz w:val="28"/>
          <w:szCs w:val="28"/>
        </w:rPr>
      </w:pPr>
    </w:p>
    <w:p w14:paraId="3BCAFFA5" w14:textId="77777777" w:rsidR="003934E1" w:rsidRDefault="00000000">
      <w:pPr>
        <w:spacing w:after="160" w:line="360" w:lineRule="auto"/>
        <w:jc w:val="center"/>
        <w:rPr>
          <w:rFonts w:ascii="Times New Roman" w:eastAsia="Times New Roman" w:hAnsi="Times New Roman" w:cs="Times New Roman"/>
          <w:b/>
          <w:i/>
          <w:sz w:val="28"/>
          <w:szCs w:val="28"/>
          <w:u w:val="single"/>
        </w:rPr>
      </w:pPr>
      <w:r>
        <w:rPr>
          <w:rFonts w:ascii="Times New Roman" w:eastAsia="Times New Roman" w:hAnsi="Times New Roman" w:cs="Times New Roman"/>
          <w:b/>
          <w:i/>
          <w:sz w:val="28"/>
          <w:szCs w:val="28"/>
          <w:u w:val="single"/>
        </w:rPr>
        <w:t>Abstract</w:t>
      </w:r>
    </w:p>
    <w:p w14:paraId="75BE25B2"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State of Madhya Pradesh, often described as the “Heart of India”, boasts a unique blend of cultural diversity, historical significance and awe-inspiring natural landscape. The tribes of Madhya Pradesh have played an instrumental role in shaping the cultural mosaic. The cultural </w:t>
      </w:r>
      <w:r>
        <w:rPr>
          <w:rFonts w:ascii="Times New Roman" w:eastAsia="Times New Roman" w:hAnsi="Times New Roman" w:cs="Times New Roman"/>
        </w:rPr>
        <w:lastRenderedPageBreak/>
        <w:t xml:space="preserve">heritage of these tribes is expressed through vibrant folk art, traditional music, mesmerizing dance forms and intricate handicrafts. The Gond Tribe in Madhya Pradesh has very rich culture heritage, sustainable livelihood practices which has integral deep rooted connective with the nature. The people of this tribe are the aboriginal indigenous people in the country. The Gonds had evolved their own cultural practices in the process of their social formation, without much interaction with the other culture. Their cultural practices were simple and had been translated through generation to generation by means of oral tradition. The culture of these tribal communities are symbolize the culture and values of the country. The rich culture of this tribe thrives through centuries old rituals, arts and festivals. Their rituals are deeply intertwined with agricultural cycle, animistic belief and ancestral worship. The central feature of Gond culture is its expressive and symbolic art form, particularly the Gond Painting. Unlike the modern Western conception of art and entertainment, the indigenous performances serve a multitude of social, cultural and spiritual functions. These cultures are integral to indigenous peoples’ and inseparable from their spiritual and cosmological beliefs. </w:t>
      </w:r>
    </w:p>
    <w:p w14:paraId="1AB905D1"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study will focus on highlighting the existing culture, knowledge and arts of the Gond Tribe in Madhya Pradesh which constitutes the pride for them and how they are preserving their identity though such culture. It will also argue the recognition, respecting and promoting the cultural expression of indigenous community which is essential for both cultural diversity and sustainable development. It will also highlight the contribution of the government in preserving their cultural heritage. The findings of this study will be valuable for policymakers, researchers and conservationists who are working towards the preservation and advancement of Gond tribe and their interaction with nature in the state of Madhya Pradesh.  The study is an attempt to explore the rich cultural heritage, sustainable livelihood practices, and integral connection between the Gond tribes and the natural environment in Madhya Pradesh. The study will also </w:t>
      </w: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the challenges faced by the Gond tribes due to rapid socio-economic changes, modernization and globalization. There is an urgent need to explore the socio-cultural heritage and their spiritual interconnectedness with nature and consolidated efforts is required to preserve their culture, tradition, beliefs, practices, folklore, history, society, rituals, festivals and their life.</w:t>
      </w:r>
    </w:p>
    <w:p w14:paraId="4720E8D5" w14:textId="77777777" w:rsidR="003934E1" w:rsidRDefault="003934E1">
      <w:pPr>
        <w:spacing w:line="360" w:lineRule="auto"/>
        <w:jc w:val="both"/>
        <w:rPr>
          <w:rFonts w:ascii="Times New Roman" w:eastAsia="Times New Roman" w:hAnsi="Times New Roman" w:cs="Times New Roman"/>
        </w:rPr>
      </w:pPr>
    </w:p>
    <w:p w14:paraId="54911F46" w14:textId="77777777" w:rsidR="003934E1" w:rsidRDefault="003934E1">
      <w:pPr>
        <w:spacing w:line="360" w:lineRule="auto"/>
        <w:jc w:val="both"/>
        <w:rPr>
          <w:rFonts w:ascii="Times New Roman" w:eastAsia="Times New Roman" w:hAnsi="Times New Roman" w:cs="Times New Roman"/>
        </w:rPr>
      </w:pPr>
    </w:p>
    <w:p w14:paraId="5E69AFD9" w14:textId="77777777" w:rsidR="003934E1" w:rsidRDefault="003934E1">
      <w:pPr>
        <w:spacing w:line="360" w:lineRule="auto"/>
        <w:jc w:val="both"/>
        <w:rPr>
          <w:rFonts w:ascii="Times New Roman" w:eastAsia="Times New Roman" w:hAnsi="Times New Roman" w:cs="Times New Roman"/>
        </w:rPr>
      </w:pPr>
    </w:p>
    <w:p w14:paraId="178BF57F" w14:textId="77777777" w:rsidR="003934E1" w:rsidRDefault="003934E1">
      <w:pPr>
        <w:spacing w:line="360" w:lineRule="auto"/>
        <w:jc w:val="both"/>
        <w:rPr>
          <w:rFonts w:ascii="Times New Roman" w:eastAsia="Times New Roman" w:hAnsi="Times New Roman" w:cs="Times New Roman"/>
        </w:rPr>
      </w:pPr>
    </w:p>
    <w:p w14:paraId="6F55BE8F" w14:textId="77777777" w:rsidR="003934E1" w:rsidRDefault="003934E1">
      <w:pPr>
        <w:spacing w:line="360" w:lineRule="auto"/>
        <w:jc w:val="both"/>
        <w:rPr>
          <w:rFonts w:ascii="Times New Roman" w:eastAsia="Times New Roman" w:hAnsi="Times New Roman" w:cs="Times New Roman"/>
        </w:rPr>
      </w:pPr>
    </w:p>
    <w:p w14:paraId="477C6158" w14:textId="77777777" w:rsidR="003934E1" w:rsidRDefault="003934E1">
      <w:pPr>
        <w:spacing w:line="360" w:lineRule="auto"/>
        <w:jc w:val="both"/>
        <w:rPr>
          <w:rFonts w:ascii="Times New Roman" w:eastAsia="Times New Roman" w:hAnsi="Times New Roman" w:cs="Times New Roman"/>
        </w:rPr>
      </w:pPr>
    </w:p>
    <w:p w14:paraId="09AF4E4E" w14:textId="77777777" w:rsidR="003934E1" w:rsidRDefault="003934E1">
      <w:pPr>
        <w:spacing w:line="360" w:lineRule="auto"/>
        <w:jc w:val="both"/>
        <w:rPr>
          <w:rFonts w:ascii="Times New Roman" w:eastAsia="Times New Roman" w:hAnsi="Times New Roman" w:cs="Times New Roman"/>
        </w:rPr>
      </w:pPr>
    </w:p>
    <w:p w14:paraId="255BB7F1" w14:textId="77777777" w:rsidR="003934E1" w:rsidRDefault="003934E1">
      <w:pPr>
        <w:spacing w:line="360" w:lineRule="auto"/>
        <w:jc w:val="both"/>
        <w:rPr>
          <w:rFonts w:ascii="Times New Roman" w:eastAsia="Times New Roman" w:hAnsi="Times New Roman" w:cs="Times New Roman"/>
        </w:rPr>
      </w:pPr>
    </w:p>
    <w:p w14:paraId="4AAC5578" w14:textId="77777777" w:rsidR="003934E1" w:rsidRDefault="003934E1">
      <w:pPr>
        <w:spacing w:line="360" w:lineRule="auto"/>
        <w:jc w:val="both"/>
        <w:rPr>
          <w:rFonts w:ascii="Times New Roman" w:eastAsia="Times New Roman" w:hAnsi="Times New Roman" w:cs="Times New Roman"/>
        </w:rPr>
      </w:pPr>
    </w:p>
    <w:p w14:paraId="5057A9EB" w14:textId="77777777" w:rsidR="003934E1" w:rsidRDefault="003934E1">
      <w:pPr>
        <w:spacing w:line="360" w:lineRule="auto"/>
        <w:jc w:val="both"/>
        <w:rPr>
          <w:rFonts w:ascii="Times New Roman" w:eastAsia="Times New Roman" w:hAnsi="Times New Roman" w:cs="Times New Roman"/>
        </w:rPr>
      </w:pPr>
    </w:p>
    <w:p w14:paraId="4E1E8798" w14:textId="77777777" w:rsidR="003934E1" w:rsidRDefault="003934E1">
      <w:pPr>
        <w:spacing w:line="360" w:lineRule="auto"/>
        <w:jc w:val="both"/>
        <w:rPr>
          <w:rFonts w:ascii="Times New Roman" w:eastAsia="Times New Roman" w:hAnsi="Times New Roman" w:cs="Times New Roman"/>
        </w:rPr>
      </w:pPr>
    </w:p>
    <w:p w14:paraId="0444A94A" w14:textId="77777777" w:rsidR="003934E1" w:rsidRDefault="003934E1">
      <w:pPr>
        <w:spacing w:line="360" w:lineRule="auto"/>
        <w:jc w:val="both"/>
        <w:rPr>
          <w:rFonts w:ascii="Times New Roman" w:eastAsia="Times New Roman" w:hAnsi="Times New Roman" w:cs="Times New Roman"/>
        </w:rPr>
      </w:pPr>
    </w:p>
    <w:p w14:paraId="591F31E8" w14:textId="77777777" w:rsidR="003934E1" w:rsidRDefault="003934E1">
      <w:pPr>
        <w:spacing w:line="360" w:lineRule="auto"/>
        <w:jc w:val="both"/>
        <w:rPr>
          <w:rFonts w:ascii="Times New Roman" w:eastAsia="Times New Roman" w:hAnsi="Times New Roman" w:cs="Times New Roman"/>
        </w:rPr>
      </w:pPr>
    </w:p>
    <w:p w14:paraId="1CCA69B3" w14:textId="77777777" w:rsidR="003934E1" w:rsidRDefault="003934E1">
      <w:pPr>
        <w:spacing w:line="360" w:lineRule="auto"/>
        <w:jc w:val="both"/>
        <w:rPr>
          <w:rFonts w:ascii="Times New Roman" w:eastAsia="Times New Roman" w:hAnsi="Times New Roman" w:cs="Times New Roman"/>
        </w:rPr>
      </w:pPr>
    </w:p>
    <w:p w14:paraId="1C45B865" w14:textId="77777777" w:rsidR="003934E1" w:rsidRDefault="003934E1">
      <w:pPr>
        <w:spacing w:line="360" w:lineRule="auto"/>
        <w:jc w:val="both"/>
        <w:rPr>
          <w:rFonts w:ascii="Times New Roman" w:eastAsia="Times New Roman" w:hAnsi="Times New Roman" w:cs="Times New Roman"/>
        </w:rPr>
      </w:pPr>
    </w:p>
    <w:p w14:paraId="39BFAF4B" w14:textId="77777777" w:rsidR="003934E1" w:rsidRDefault="003934E1">
      <w:pPr>
        <w:spacing w:line="360" w:lineRule="auto"/>
        <w:jc w:val="both"/>
        <w:rPr>
          <w:rFonts w:ascii="Times New Roman" w:eastAsia="Times New Roman" w:hAnsi="Times New Roman" w:cs="Times New Roman"/>
        </w:rPr>
      </w:pPr>
    </w:p>
    <w:p w14:paraId="09B4975B" w14:textId="77777777" w:rsidR="003934E1" w:rsidRDefault="003934E1">
      <w:pPr>
        <w:spacing w:line="360" w:lineRule="auto"/>
        <w:jc w:val="both"/>
        <w:rPr>
          <w:rFonts w:ascii="Times New Roman" w:eastAsia="Times New Roman" w:hAnsi="Times New Roman" w:cs="Times New Roman"/>
        </w:rPr>
      </w:pPr>
    </w:p>
    <w:p w14:paraId="701F3FFE" w14:textId="77777777" w:rsidR="003934E1" w:rsidRDefault="003934E1">
      <w:pPr>
        <w:spacing w:line="360" w:lineRule="auto"/>
        <w:jc w:val="both"/>
        <w:rPr>
          <w:rFonts w:ascii="Times New Roman" w:eastAsia="Times New Roman" w:hAnsi="Times New Roman" w:cs="Times New Roman"/>
        </w:rPr>
      </w:pPr>
    </w:p>
    <w:p w14:paraId="79E6ED7A" w14:textId="77777777" w:rsidR="003934E1" w:rsidRDefault="00000000">
      <w:pPr>
        <w:spacing w:after="200"/>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DECOLONIZING TRIBAL STUDIES: UNDERSTANDING TRIBAL IDENTITY BEYOND STEREOTYPES</w:t>
      </w:r>
    </w:p>
    <w:p w14:paraId="2B316B6A" w14:textId="77777777" w:rsidR="003934E1" w:rsidRDefault="00000000">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Jishnu Suresh</w:t>
      </w:r>
    </w:p>
    <w:p w14:paraId="21F2925C"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Ph.D. Scholar Research Department of Political Science</w:t>
      </w:r>
    </w:p>
    <w:p w14:paraId="71E58685"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Mahatma Gandhi University Research Centre</w:t>
      </w:r>
    </w:p>
    <w:p w14:paraId="0D6697E0" w14:textId="77777777" w:rsidR="003934E1" w:rsidRDefault="00000000">
      <w:pPr>
        <w:jc w:val="center"/>
        <w:rPr>
          <w:rFonts w:ascii="Times New Roman" w:eastAsia="Times New Roman" w:hAnsi="Times New Roman" w:cs="Times New Roman"/>
        </w:rPr>
      </w:pPr>
      <w:r>
        <w:rPr>
          <w:rFonts w:ascii="Times New Roman" w:eastAsia="Times New Roman" w:hAnsi="Times New Roman" w:cs="Times New Roman"/>
        </w:rPr>
        <w:t>Govt. Maharajas College Ernakulam, Kerala</w:t>
      </w:r>
    </w:p>
    <w:p w14:paraId="33DD3415" w14:textId="77777777" w:rsidR="003934E1" w:rsidRDefault="003934E1">
      <w:pPr>
        <w:jc w:val="center"/>
        <w:rPr>
          <w:rFonts w:ascii="Times New Roman" w:eastAsia="Times New Roman" w:hAnsi="Times New Roman" w:cs="Times New Roman"/>
        </w:rPr>
      </w:pPr>
      <w:hyperlink r:id="rId26">
        <w:r>
          <w:rPr>
            <w:rFonts w:ascii="Times New Roman" w:eastAsia="Times New Roman" w:hAnsi="Times New Roman" w:cs="Times New Roman"/>
            <w:color w:val="0000FF"/>
            <w:u w:val="single"/>
          </w:rPr>
          <w:t>jishnusureshpolsci@maharjas.ac.in</w:t>
        </w:r>
      </w:hyperlink>
    </w:p>
    <w:p w14:paraId="4823DCF3" w14:textId="77777777" w:rsidR="003934E1" w:rsidRDefault="003934E1">
      <w:pPr>
        <w:jc w:val="center"/>
        <w:rPr>
          <w:rFonts w:ascii="Times New Roman" w:eastAsia="Times New Roman" w:hAnsi="Times New Roman" w:cs="Times New Roman"/>
        </w:rPr>
      </w:pPr>
    </w:p>
    <w:p w14:paraId="22E02F85" w14:textId="77777777" w:rsidR="003934E1" w:rsidRDefault="003934E1">
      <w:pPr>
        <w:jc w:val="center"/>
        <w:rPr>
          <w:rFonts w:ascii="Times New Roman" w:eastAsia="Times New Roman" w:hAnsi="Times New Roman" w:cs="Times New Roman"/>
        </w:rPr>
      </w:pPr>
    </w:p>
    <w:p w14:paraId="0D8BC19C" w14:textId="77777777" w:rsidR="003934E1" w:rsidRDefault="00000000">
      <w:pPr>
        <w:spacing w:after="200"/>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Abstract</w:t>
      </w:r>
    </w:p>
    <w:p w14:paraId="458F2B4E"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This Paper critically examines colonial and post-colonial framings of tribal identity in India and contends for a radical reconsideration of tribal studies through the prism of decolonial thought. Historically, British colonial bureaucrats, missionaries, and anthropologists used reductionist stereotypes to label Adivasi groups as "primitive," thereby justifying their exploitation and marginalisation. These epistemological frameworks were inherited and reproduced by the post-independence Indian state, which applied assimilationist strategies in the interests of development, usually pushing tribal populations off their lands and extinguishing their cultural autonomy. The article focuses on the imperative to consider tribal communities neither as passive consumers of modernity but as self-conscious makers of knowledge, government, and ecological care. By presenting indigenous knowledge systems, ecological ethics, and spiritual-political philosophy of Birsa Munda, the paper sets forth tribal epistemologies as essential alternatives to dominant capitalist development and ecological degradative paradigms. The article highlights the double marginalisation of Adivasi women and advocates for a gender-inclusive framework of decolonising tribal discourse. It critiques the misrepresentation of tribal peoples in education, media, and popular culture, calling for authentic self-representation and narrative sovereignty. Through suggesting a decolonial </w:t>
      </w:r>
      <w:r>
        <w:rPr>
          <w:rFonts w:ascii="Times New Roman" w:eastAsia="Times New Roman" w:hAnsi="Times New Roman" w:cs="Times New Roman"/>
        </w:rPr>
        <w:lastRenderedPageBreak/>
        <w:t>methodology based on participatory research, the paper reframes tribal studies towards social justice, epistemic respect, and policy change. Legal instruments like the Forest Rights Act and PESA are assessed, calling for their effective implementation in consonance with international indigenous rights standards. Finally, the article concludes that decolonising tribal studies is more than an intellectual pursuit; it is a moral, ecological, and political necessity vital to realising a genuinely inclusive and democratic India.</w:t>
      </w:r>
    </w:p>
    <w:p w14:paraId="207D1A91" w14:textId="77777777" w:rsidR="003934E1" w:rsidRDefault="003934E1">
      <w:pPr>
        <w:spacing w:after="200" w:line="276" w:lineRule="auto"/>
        <w:jc w:val="center"/>
        <w:rPr>
          <w:rFonts w:ascii="Times New Roman" w:eastAsia="Times New Roman" w:hAnsi="Times New Roman" w:cs="Times New Roman"/>
        </w:rPr>
      </w:pPr>
    </w:p>
    <w:p w14:paraId="7A70EE3C"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Keywords:  Decolonisation, Adivasi Studies, Indigenous Knowledge Systems, Tribal Identity, Birsa Munda, Ecological Ethics, Gender and Tribes, Forest Rights Act (FRA), PESA Act, Epistemic Justice, Tribal Representation, Development Displacement, Participatory Research, Postcolonial Critique, Tribal Sovereignty</w:t>
      </w:r>
    </w:p>
    <w:p w14:paraId="59707186" w14:textId="77777777" w:rsidR="003934E1" w:rsidRDefault="003934E1">
      <w:pPr>
        <w:spacing w:after="200"/>
        <w:rPr>
          <w:rFonts w:ascii="Times New Roman" w:eastAsia="Times New Roman" w:hAnsi="Times New Roman" w:cs="Times New Roman"/>
          <w:sz w:val="30"/>
          <w:szCs w:val="30"/>
        </w:rPr>
      </w:pPr>
    </w:p>
    <w:p w14:paraId="49C019F0" w14:textId="77777777" w:rsidR="003934E1" w:rsidRDefault="00000000">
      <w:pPr>
        <w:spacing w:after="200" w:line="276" w:lineRule="auto"/>
        <w:jc w:val="center"/>
        <w:rPr>
          <w:rFonts w:ascii="Times New Roman" w:eastAsia="Times New Roman" w:hAnsi="Times New Roman" w:cs="Times New Roman"/>
          <w:sz w:val="30"/>
          <w:szCs w:val="30"/>
          <w:u w:val="single"/>
        </w:rPr>
      </w:pPr>
      <w:r>
        <w:rPr>
          <w:rFonts w:ascii="Times New Roman" w:eastAsia="Times New Roman" w:hAnsi="Times New Roman" w:cs="Times New Roman"/>
          <w:sz w:val="30"/>
          <w:szCs w:val="30"/>
          <w:u w:val="single"/>
        </w:rPr>
        <w:t>Introduction</w:t>
      </w:r>
    </w:p>
    <w:p w14:paraId="69AFFA7B"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Research on tribal communities, pasts, and identities in India has been deeply influenced by the long-standing legacies of colonial discourse, post-colonial state policy-making, and prevailing societal attitudes. Ever since the early days of British domination, the native Indians of India, commonly called Adivasis, "original inhabitants"</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In Sanskrit, they were constructed explicitly as the cultural and civilizational 'Other' in contrast to what is supposed to be the mainstream, caste-Hindu society. British colonial officials, missionaries, and anthropologists conducted vast ethnographic recordings, with their observant accounts yielding massive surveys, guides, and field reports categorising tribal communities into immovable, essentialized types like "primitive," "animistic," "wild," "criminal," or "savage." Such terms were not harmless, merely academic; they had a conclusive colonial function. They simplified the Adivasi existence's complex and dynamic nature into simplistic caricatures, representing these societies as retrograde, childish, and unsuitable for self-rule, justifying the colonial venture of exploitation, domination, and resource extraction. The forests and mineral deposits where these societies lived were converted into sites of imperial plunder, sanctioned by the manufactured image of the tribes as unfit custodians of their own nature and progress. Sadly, the post-colonial Indian state, with its nationalist discourse and constitutional promises of social justice, carried on and inherited this defective epistemological model. Tribal people were still seen not as carriers of vibrant alternative systems of knowledge and different modes of being, but as incomplete or retarded forms of modernity in need of 'upliftment' through state-led development programs and integrationist policies.(Spivak, 1999). This epistemic violence was reinforced by actual development interventions in the shape of mass-scale mining, dam building, state-sponsored forestry schemes, and even conservation initiatives for wildlife, each of which regularly dislocated Adivasi communities, broke up their socio-cultural structures, and sabotaged their traditional ecological management. These policies did little to acknowledge </w:t>
      </w:r>
      <w:r>
        <w:rPr>
          <w:rFonts w:ascii="Times New Roman" w:eastAsia="Times New Roman" w:hAnsi="Times New Roman" w:cs="Times New Roman"/>
        </w:rPr>
        <w:lastRenderedPageBreak/>
        <w:t>the agency, aspirations, or rights of tribal communities, instead viewing them as passive beneficiaries or inhibitors within a broader discourse of national advancement. Forced displacement from ancestral lands resulted in large-scale socio-economic marginalisation, compelling millions into vulnerable wage labour markets and slums. Simultaneously, the ecological acumen, sophisticated horticultural methods, therapeutic knowledge, and sustainable resource harvest management systems developed by tribal societies over centuries were either taken up without recognition or relegated to the status of superstitions unrelated to the progress of modern science and industrial growth.</w:t>
      </w:r>
    </w:p>
    <w:p w14:paraId="1F2928E9"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In the present international and national scenario, the challenge of decolonising tribal studies has gained greater urgency and relevance. The rapidly unfolding environmental crisis, increasingly pronounced socio-economic disparities, and re-emerging indigenous rights movements globally have revealed the inadequacies of prevailing development paradigms and epistemologies. India, with its extensive and heterogeneous tribal population, cannot remain immune to these discourses. This article contends that tribal societies can no longer be treated as objects of state control, corporate </w:t>
      </w:r>
      <w:proofErr w:type="spellStart"/>
      <w:r>
        <w:rPr>
          <w:rFonts w:ascii="Times New Roman" w:eastAsia="Times New Roman" w:hAnsi="Times New Roman" w:cs="Times New Roman"/>
        </w:rPr>
        <w:t>extractivism</w:t>
      </w:r>
      <w:proofErr w:type="spellEnd"/>
      <w:r>
        <w:rPr>
          <w:rFonts w:ascii="Times New Roman" w:eastAsia="Times New Roman" w:hAnsi="Times New Roman" w:cs="Times New Roman"/>
        </w:rPr>
        <w:t xml:space="preserve">, anthropological interest, or NGO-sponsored benevolence. Instead, they must be understood and treated as sovereign subjects possessing distinctive, authentic, valuable knowledge traditions, political imaginations, and cultural worldviews. The long shadow of resistance represented by Birsa Munda is a compelling witness to this fact. Birsa's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(Great Tumult) was more than an anti-colonial uprising; it was an epistemic insurrection challenging the imposed structures of religion, economy, and governance. His vision synthesised spiritual awakening, ecological balance, and socio-political autonomy within a holistic, indigenous critique of colonial subjugation and the exploitative </w:t>
      </w:r>
      <w:proofErr w:type="spellStart"/>
      <w:r>
        <w:rPr>
          <w:rFonts w:ascii="Times New Roman" w:eastAsia="Times New Roman" w:hAnsi="Times New Roman" w:cs="Times New Roman"/>
        </w:rPr>
        <w:t>Diku</w:t>
      </w:r>
      <w:proofErr w:type="spellEnd"/>
      <w:r>
        <w:rPr>
          <w:rFonts w:ascii="Times New Roman" w:eastAsia="Times New Roman" w:hAnsi="Times New Roman" w:cs="Times New Roman"/>
        </w:rPr>
        <w:t xml:space="preserve"> (outsider)</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system(</w:t>
      </w:r>
      <w:proofErr w:type="spellStart"/>
      <w:r>
        <w:rPr>
          <w:rFonts w:ascii="Times New Roman" w:eastAsia="Times New Roman" w:hAnsi="Times New Roman" w:cs="Times New Roman"/>
        </w:rPr>
        <w:t>Nepia</w:t>
      </w:r>
      <w:proofErr w:type="spellEnd"/>
      <w:r>
        <w:rPr>
          <w:rFonts w:ascii="Times New Roman" w:eastAsia="Times New Roman" w:hAnsi="Times New Roman" w:cs="Times New Roman"/>
        </w:rPr>
        <w:t xml:space="preserve">, 2017). Furthermore, decolonising tribal studies discourse cannot be oblivious to the intersectional factuality of gender. Adivasi women play a central, but often marginalised, role in tribal society and beyond. They are repositories of seeds, medicinal plants, oral knowledge, religious practices, and frontline protectors against ecological degradation and cultural loss. Development-induced displacement, male wage migration, and external interventions have increasingly undermined their traditional roles and rendered them more vulnerable to exploitation and violence. The histories and lives of Adivasi women must thus be brought to the centre of any serious effort at rethinking tribal studies. Resistance movements like the </w:t>
      </w:r>
      <w:proofErr w:type="spellStart"/>
      <w:r>
        <w:rPr>
          <w:rFonts w:ascii="Times New Roman" w:eastAsia="Times New Roman" w:hAnsi="Times New Roman" w:cs="Times New Roman"/>
        </w:rPr>
        <w:t>Dongria</w:t>
      </w:r>
      <w:proofErr w:type="spellEnd"/>
      <w:r>
        <w:rPr>
          <w:rFonts w:ascii="Times New Roman" w:eastAsia="Times New Roman" w:hAnsi="Times New Roman" w:cs="Times New Roman"/>
        </w:rPr>
        <w:t xml:space="preserve"> Kondh fight against mining in Odisha</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which was led partly by women, demonstrate the transformative power of gender-inclusive tribal resistance </w:t>
      </w:r>
      <w:r>
        <w:rPr>
          <w:rFonts w:ascii="Times New Roman" w:eastAsia="Times New Roman" w:hAnsi="Times New Roman" w:cs="Times New Roman"/>
        </w:rPr>
        <w:lastRenderedPageBreak/>
        <w:t>to challenge patriarchy and extractive capitalism. No less important is the recognition and appreciation of indigenous ecological knowledge systems. Tribal cosmologies do not view nature as a lifeless repository of resources to be exploited for profit, but rather forests as holy groves, rivers as sacred guardians, and animals as relatives. These visions encourage sustainable, reciprocal relations with nature and an ethic in direct contrast to the extractive, commodifying logic of industrial capitalism and state development(Kandie, 2020a). However, state policy and scholarly agendas have tended to appropriate or exclude these systems, usually substituting biodiverse traditional agroforestry with ecologically ruinous monoculture plantations or driving entire communities out in the name of tiger reserves and national parks. A genuinely decolonial critique requires not paternalistic conservation of these knowledge systems as anthropological artefacts but incorporating them in mainstream environmental policy and sustainable development practice.</w:t>
      </w:r>
    </w:p>
    <w:p w14:paraId="09133F86"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In addition, the distortion of tribal identities in popular culture, school books, and public opinion keeps perpetuating negative stereotypes. Tribals are characterised as noble savages unspoiled by modernity or pathetic backwoods needing deliverance. Tribe voices hardly get a direct, unmediated voice in these forums.(Kandie, 2020b). The democratisation of digital media and the emergence of Adivasi-led journalism, literature, and film provide promising avenues to reverse this trend. However, structural impediments to access and representation are still daunting. The methodological and ethical underpinnings of tribal research itself need a radical overhaul. Research on tribal communities has been extractive, objectifying, and de-linked from the lived experiences and agendas of these communities for far too long. A decolonial method demands participatory, collective, and liberatory research. (Saldanha, 2002). This involves obtaining free, prior, and informed consent; collaborative knowledge production with tribal scholars and activists; putting research results back into the community in usable formats; and ensuring that research results benefit tribal empowerment more than academic progress. Decolonising tribal studies is a necessary exercise. It is an ecological, political, and ethical imperative that demands fundamental changes in state policy, academic practice, media reporting, and social attitudes. It demands dismantling the post-colonial and colonial legacies that still deform our knowledge of Adivasi societies and replacing them with frameworks that validate tribal agency, wisdom, and sovereignty.(Roberts &amp; Stephens, 2020). It is only by taking this step that India can hope for a future that is really inclusive, democratic, and ecologically viable in the 21st century—Colonial Construction of Tribal Identity. The colonial project of constructing tribal identity in India was not simply an intellectual or anthropological endeavour but a political undertaking closely tied up with the imperial imperatives of ruling, dominating, and economic exploitation.(Martin &amp; </w:t>
      </w:r>
      <w:proofErr w:type="spellStart"/>
      <w:r>
        <w:rPr>
          <w:rFonts w:ascii="Times New Roman" w:eastAsia="Times New Roman" w:hAnsi="Times New Roman" w:cs="Times New Roman"/>
        </w:rPr>
        <w:t>Mirraboopa</w:t>
      </w:r>
      <w:proofErr w:type="spellEnd"/>
      <w:r>
        <w:rPr>
          <w:rFonts w:ascii="Times New Roman" w:eastAsia="Times New Roman" w:hAnsi="Times New Roman" w:cs="Times New Roman"/>
        </w:rPr>
        <w:t xml:space="preserve">, 2003). The British colonial state, anthropologists, and Christian missionaries undertook the intense classification of the plural population of the Indian subcontinent to install their own interpretive schemes on a deceptively plural and intricate society. In doing so, the word "tribe" was made a catch-all term to categorise and isolate some populations from what the colonial imagination perceived as the normative order of caste-Hindu, "civilised" society. The British colonial authorities imagined the tribal groups as the opposite of the settled, scripturally defined, and hierarchically ranked Hindu social order. This creation of a dichotomy – tribe vs. caste, forest vs. village, savage vs. civilised played a significant political role(Alfred &amp; Corntassel, 2005). </w:t>
      </w:r>
      <w:r>
        <w:rPr>
          <w:rFonts w:ascii="Times New Roman" w:eastAsia="Times New Roman" w:hAnsi="Times New Roman" w:cs="Times New Roman"/>
        </w:rPr>
        <w:lastRenderedPageBreak/>
        <w:t xml:space="preserve">It enabled the colonial state to justify its interventionist policies and mission </w:t>
      </w:r>
      <w:proofErr w:type="spellStart"/>
      <w:r>
        <w:rPr>
          <w:rFonts w:ascii="Times New Roman" w:eastAsia="Times New Roman" w:hAnsi="Times New Roman" w:cs="Times New Roman"/>
        </w:rPr>
        <w:t>civilisatrice</w:t>
      </w:r>
      <w:proofErr w:type="spellEnd"/>
      <w:r>
        <w:rPr>
          <w:rFonts w:ascii="Times New Roman" w:eastAsia="Times New Roman" w:hAnsi="Times New Roman" w:cs="Times New Roman"/>
        </w:rPr>
        <w:t>. It legitimised the extension of state power into forest and hill areas full of natural resources but beyond the immediate reach of the pre-colonial state machinery.</w:t>
      </w:r>
    </w:p>
    <w:p w14:paraId="4278B918"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Colonial ethnography took precedence in creating these impressions. Through massive surveys, reports, and monographs written under the auspices of projects such as the "Census of India"</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 xml:space="preserve"> and the Anthropological Survey, the British attempted to pin down the identity of tribes in official records. However, these images were hardly neutral or objective; instead, they were replete with Eurocentric preconceptions regarding progress, civilisation, and race. Tribes were variously labelled "animistic," "primitive," "savage," or "barbaric" terms that told more about the biases of the observers than they did about the realities of the communities themselves(Walters et al., 2011). These terms suggested that tribal societies were immured in time, uncut by history, and unable to evolve except under the guidance of the colonial state. At the same time, Christian missionaries gave this stereotyping a religious flavour by describing tribal groups as "heathens" or "souls to be saved," thus legitimating their own proselytising efforts(“Update,” 2000). Such depictions painted tribals as individuals without religion, morality, and civilisation qualities presumed to be provided by the Christian gospel or the modern state. The acknowledgement of these groups' vibrant cosmologies, moral systems, political organisations, and environmental understandings was lost in this construction. These things proved challenging to integrate into the colonial system, but were the essence of tribal existence. The legacy of this colonial invention of tribal identity continues to underpin the lives of Adivasi groups in present-day India(Carucci, 2004). The very category of "Scheduled Tribe,</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established in the Indian Constitution and government records, is a continuation, though in a new context, of the classificatory drive that started during British times. Whereas affirmative action measures, legal safeguards, and schemes for development among Scheduled Tribes have brought some material advantages, they have also reinforced the perception of tribal society as "deficit subjects" groups in need of improvement, integration, and rectification by the modern state. This essentializing conceals the astounding richness and dynamism of tribal existence. (Sen, 2018). India's tribal communities are not uniform; they use hundreds of languages, observe diverse religious and spiritual practices, and have different livelihood patterns, from settled farming to pastoralist to shifting cultivation(Moreton-Robinson, 2006). However, state policy and popular media tend to simplify them to reductive stereotypes, either as poor victims of exploitation or as heroic eco-volunteers in harmony with nature. Both these constructs elide the agency, aspirations, and internal nuance of tribal societies.</w:t>
      </w:r>
    </w:p>
    <w:p w14:paraId="2C619726" w14:textId="77777777" w:rsidR="003934E1" w:rsidRDefault="003934E1">
      <w:pPr>
        <w:spacing w:after="200" w:line="276" w:lineRule="auto"/>
        <w:jc w:val="center"/>
        <w:rPr>
          <w:rFonts w:ascii="Times New Roman" w:eastAsia="Times New Roman" w:hAnsi="Times New Roman" w:cs="Times New Roman"/>
          <w:sz w:val="28"/>
          <w:szCs w:val="28"/>
          <w:u w:val="single"/>
        </w:rPr>
      </w:pPr>
    </w:p>
    <w:p w14:paraId="36F066F2" w14:textId="77777777" w:rsidR="003934E1" w:rsidRDefault="00000000">
      <w:pPr>
        <w:spacing w:after="200" w:line="276"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Post-Colonial State and the 'Development' Paradigm</w:t>
      </w:r>
    </w:p>
    <w:p w14:paraId="3FAA1919"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The post-colonial Indian state, in its new birth in 1947, inherited not only the political and administrative apparatus of the British Raj, but also its well-entrenched categories of social categorisation, especially the colonial fabrication of "tribal" identity</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 In an attempt to cure the perceived "backwardness" of Adivasi peoples, the new state launched policies for their "upliftment" and "integration" into the national mainstream. However, these policies were explained in the same discourse of deficiency and absence developed under colonialism. Instead of seeing tribal societies as possessors of alternative epistemologies, deep cultural heritage, and distinctive political orders, the state saw them as incomplete forms of modern citizens, denizens requiring development, education, and assimilation. (McGregor, 2004). This paternalism was most starkly expressed in the use of grand schemes of large-scale development dams, mining projects, industrial corridors, and forestry programs prioritising the exploitation of resources over the maintenance of tribal modes of life. (Moreton-Robinson, 2015). In the interests of national progress and economic development, millions of Adivasis were uprooted from their traditional homelands, deprived of their customary livelihoods, and subjected to the trauma of enforced resettlement. The building of mega dams such as the Hirakud</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Sardar Sarovar</w:t>
      </w:r>
      <w:r>
        <w:rPr>
          <w:rFonts w:ascii="Times New Roman" w:eastAsia="Times New Roman" w:hAnsi="Times New Roman" w:cs="Times New Roman"/>
          <w:vertAlign w:val="superscript"/>
        </w:rPr>
        <w:footnoteReference w:id="9"/>
      </w:r>
      <w:r>
        <w:rPr>
          <w:rFonts w:ascii="Times New Roman" w:eastAsia="Times New Roman" w:hAnsi="Times New Roman" w:cs="Times New Roman"/>
        </w:rPr>
        <w:t xml:space="preserve">, and </w:t>
      </w:r>
      <w:proofErr w:type="spellStart"/>
      <w:r>
        <w:rPr>
          <w:rFonts w:ascii="Times New Roman" w:eastAsia="Times New Roman" w:hAnsi="Times New Roman" w:cs="Times New Roman"/>
        </w:rPr>
        <w:t>Rihand</w:t>
      </w:r>
      <w:proofErr w:type="spellEnd"/>
      <w:r>
        <w:rPr>
          <w:rFonts w:ascii="Times New Roman" w:eastAsia="Times New Roman" w:hAnsi="Times New Roman" w:cs="Times New Roman"/>
          <w:vertAlign w:val="superscript"/>
        </w:rPr>
        <w:footnoteReference w:id="10"/>
      </w:r>
      <w:r>
        <w:rPr>
          <w:rFonts w:ascii="Times New Roman" w:eastAsia="Times New Roman" w:hAnsi="Times New Roman" w:cs="Times New Roman"/>
        </w:rPr>
        <w:t xml:space="preserve"> resulted in the flooding of fertile valleys occupied by tribal people for centuries and in contrast, coal, bauxite, and iron ore mining projects converted green forests into wasteland, uprooting people and disrupting the ecological balance.</w:t>
      </w:r>
    </w:p>
    <w:p w14:paraId="7B919CFC"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Ironic as it may seem, these state-led development initiatives were sanctioned by appealing to constitutional guarantees intended to safeguard tribal rights. Welfare and empowerment rhetoric concealed a more profound continuity with colonial </w:t>
      </w:r>
      <w:proofErr w:type="spellStart"/>
      <w:r>
        <w:rPr>
          <w:rFonts w:ascii="Times New Roman" w:eastAsia="Times New Roman" w:hAnsi="Times New Roman" w:cs="Times New Roman"/>
        </w:rPr>
        <w:t>extractivism</w:t>
      </w:r>
      <w:proofErr w:type="spellEnd"/>
      <w:r>
        <w:rPr>
          <w:rFonts w:ascii="Times New Roman" w:eastAsia="Times New Roman" w:hAnsi="Times New Roman" w:cs="Times New Roman"/>
        </w:rPr>
        <w:t xml:space="preserve">, where tribal areas remained predominantly conceptualised as frontiers of resources and not as the living places of differentiated people with their history, aspirations, and government systems. (Andersen, 1970). Post-war modernisation theories that became fashionable, particularly Western social </w:t>
      </w:r>
      <w:r>
        <w:rPr>
          <w:rFonts w:ascii="Times New Roman" w:eastAsia="Times New Roman" w:hAnsi="Times New Roman" w:cs="Times New Roman"/>
        </w:rPr>
        <w:lastRenderedPageBreak/>
        <w:t>science imports, enforced this view by arguing that tribals were "pre-modern"</w:t>
      </w:r>
      <w:r>
        <w:rPr>
          <w:rFonts w:ascii="Times New Roman" w:eastAsia="Times New Roman" w:hAnsi="Times New Roman" w:cs="Times New Roman"/>
          <w:vertAlign w:val="superscript"/>
        </w:rPr>
        <w:footnoteReference w:id="11"/>
      </w:r>
      <w:r>
        <w:rPr>
          <w:rFonts w:ascii="Times New Roman" w:eastAsia="Times New Roman" w:hAnsi="Times New Roman" w:cs="Times New Roman"/>
        </w:rPr>
        <w:t xml:space="preserve"> human beings who had not yet travelled through the evolutionary journey to civilisation. (</w:t>
      </w:r>
      <w:proofErr w:type="spellStart"/>
      <w:r>
        <w:rPr>
          <w:rFonts w:ascii="Times New Roman" w:eastAsia="Times New Roman" w:hAnsi="Times New Roman" w:cs="Times New Roman"/>
        </w:rPr>
        <w:t>Baviskar</w:t>
      </w:r>
      <w:proofErr w:type="spellEnd"/>
      <w:r>
        <w:rPr>
          <w:rFonts w:ascii="Times New Roman" w:eastAsia="Times New Roman" w:hAnsi="Times New Roman" w:cs="Times New Roman"/>
        </w:rPr>
        <w:t>, 2005) . In this configuration, Adivasis were presented as "the waiting room of history,</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 to use Dipesh Chakrabarty's phrase, perpetually behind the rest of the country and needing state help to catch up. This perspective not only delegitimised tribal societies but also morally legitimised intrusive state actions that violated tribal agreements. Constitutional protections such as the Fifth and Sixth Schedules, intended to extend autonomy and protection to tribal regions, proved inadequate. The Fifth Schedule</w:t>
      </w:r>
      <w:r>
        <w:rPr>
          <w:rFonts w:ascii="Times New Roman" w:eastAsia="Times New Roman" w:hAnsi="Times New Roman" w:cs="Times New Roman"/>
          <w:vertAlign w:val="superscript"/>
        </w:rPr>
        <w:footnoteReference w:id="13"/>
      </w:r>
      <w:r>
        <w:rPr>
          <w:rFonts w:ascii="Times New Roman" w:eastAsia="Times New Roman" w:hAnsi="Times New Roman" w:cs="Times New Roman"/>
        </w:rPr>
        <w:t>, encompassing large areas of central India's Adivasi belt, theoretically gave Governors the power to preserve tribal land and culture. (Pitcher, 2023). However, this power was seldom used for the benefit of the people. The Sixth Schedule</w:t>
      </w:r>
      <w:r>
        <w:rPr>
          <w:rFonts w:ascii="Times New Roman" w:eastAsia="Times New Roman" w:hAnsi="Times New Roman" w:cs="Times New Roman"/>
          <w:vertAlign w:val="superscript"/>
        </w:rPr>
        <w:footnoteReference w:id="14"/>
      </w:r>
      <w:r>
        <w:rPr>
          <w:rFonts w:ascii="Times New Roman" w:eastAsia="Times New Roman" w:hAnsi="Times New Roman" w:cs="Times New Roman"/>
        </w:rPr>
        <w:t xml:space="preserve"> for the Northeast regions provided Autonomous District Councils with legislative and judicial authority. However, the penetration of national laws, bureaucratic lethargy, and political machinations watered down the autonomy that the framers of the Constitution had conceived. Despite all these constitutional assurances, the post-independence state consistently failed to enforce the ethos of self-rule enshrined in acts such as the Panchayat (Extension to Scheduled Areas) Act (PESA)</w:t>
      </w:r>
      <w:r>
        <w:rPr>
          <w:rFonts w:ascii="Times New Roman" w:eastAsia="Times New Roman" w:hAnsi="Times New Roman" w:cs="Times New Roman"/>
          <w:vertAlign w:val="superscript"/>
        </w:rPr>
        <w:footnoteReference w:id="15"/>
      </w:r>
      <w:r>
        <w:rPr>
          <w:rFonts w:ascii="Times New Roman" w:eastAsia="Times New Roman" w:hAnsi="Times New Roman" w:cs="Times New Roman"/>
        </w:rPr>
        <w:t xml:space="preserve"> of 1996(M. R. Jacobs, 2022). Following decades of struggle by tribal movements and suggestions by the Bhuria Committee</w:t>
      </w:r>
      <w:r>
        <w:rPr>
          <w:rFonts w:ascii="Times New Roman" w:eastAsia="Times New Roman" w:hAnsi="Times New Roman" w:cs="Times New Roman"/>
          <w:vertAlign w:val="superscript"/>
        </w:rPr>
        <w:footnoteReference w:id="16"/>
      </w:r>
      <w:r>
        <w:rPr>
          <w:rFonts w:ascii="Times New Roman" w:eastAsia="Times New Roman" w:hAnsi="Times New Roman" w:cs="Times New Roman"/>
        </w:rPr>
        <w:t xml:space="preserve">, PESA was meant to make Gram Sabhas or village councils responsible for land, water, forests, and other community resources, as historically implemented by tribal societies. Theoretically, PESA shifted from top-down development to decentralised, participatory decision-making. In practice, however, its application has been patchy and consciously blocked at worst. (Cain, 2013). Bureaucrats, </w:t>
      </w:r>
      <w:r>
        <w:rPr>
          <w:rFonts w:ascii="Times New Roman" w:eastAsia="Times New Roman" w:hAnsi="Times New Roman" w:cs="Times New Roman"/>
        </w:rPr>
        <w:lastRenderedPageBreak/>
        <w:t>contractors, and corporate interests have discovered methods for evading or undermining the power of Gram Sabhas, bringing PESA to paper tiger status. State governments have hesitated to draft the required rules to implement the Act, lest they lose control over profitable mineral-rich areas. The consequence has been widespread disillusionment with tribal communities, who do not perceive much difference between the colonial state that exploited their resources in the past and the post-colonial state that goes on exploiting them in the name of development.</w:t>
      </w:r>
    </w:p>
    <w:p w14:paraId="1C4065A3"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This feeling of betrayal and alienation has given rise to waves of tribal resistance throughout India. From the Narmada Bachao </w:t>
      </w:r>
      <w:proofErr w:type="spellStart"/>
      <w:r>
        <w:rPr>
          <w:rFonts w:ascii="Times New Roman" w:eastAsia="Times New Roman" w:hAnsi="Times New Roman" w:cs="Times New Roman"/>
        </w:rPr>
        <w:t>Andolan</w:t>
      </w:r>
      <w:proofErr w:type="spellEnd"/>
      <w:r>
        <w:rPr>
          <w:rFonts w:ascii="Times New Roman" w:eastAsia="Times New Roman" w:hAnsi="Times New Roman" w:cs="Times New Roman"/>
          <w:vertAlign w:val="superscript"/>
        </w:rPr>
        <w:footnoteReference w:id="17"/>
      </w:r>
      <w:r>
        <w:rPr>
          <w:rFonts w:ascii="Times New Roman" w:eastAsia="Times New Roman" w:hAnsi="Times New Roman" w:cs="Times New Roman"/>
        </w:rPr>
        <w:t xml:space="preserve"> resisting displacement due to dams in Madhya Pradesh, to the </w:t>
      </w:r>
      <w:proofErr w:type="spellStart"/>
      <w:r>
        <w:rPr>
          <w:rFonts w:ascii="Times New Roman" w:eastAsia="Times New Roman" w:hAnsi="Times New Roman" w:cs="Times New Roman"/>
        </w:rPr>
        <w:t>Dongria</w:t>
      </w:r>
      <w:proofErr w:type="spellEnd"/>
      <w:r>
        <w:rPr>
          <w:rFonts w:ascii="Times New Roman" w:eastAsia="Times New Roman" w:hAnsi="Times New Roman" w:cs="Times New Roman"/>
        </w:rPr>
        <w:t xml:space="preserve"> Kondh's</w:t>
      </w:r>
      <w:r>
        <w:rPr>
          <w:rFonts w:ascii="Times New Roman" w:eastAsia="Times New Roman" w:hAnsi="Times New Roman" w:cs="Times New Roman"/>
          <w:vertAlign w:val="superscript"/>
        </w:rPr>
        <w:footnoteReference w:id="18"/>
      </w:r>
      <w:r>
        <w:rPr>
          <w:rFonts w:ascii="Times New Roman" w:eastAsia="Times New Roman" w:hAnsi="Times New Roman" w:cs="Times New Roman"/>
        </w:rPr>
        <w:t xml:space="preserve"> triumph over mining of bauxite on their sacred </w:t>
      </w:r>
      <w:proofErr w:type="spellStart"/>
      <w:r>
        <w:rPr>
          <w:rFonts w:ascii="Times New Roman" w:eastAsia="Times New Roman" w:hAnsi="Times New Roman" w:cs="Times New Roman"/>
        </w:rPr>
        <w:t>Niyamgiri</w:t>
      </w:r>
      <w:proofErr w:type="spellEnd"/>
      <w:r>
        <w:rPr>
          <w:rFonts w:ascii="Times New Roman" w:eastAsia="Times New Roman" w:hAnsi="Times New Roman" w:cs="Times New Roman"/>
        </w:rPr>
        <w:t xml:space="preserve"> Hills in Odisha, to the Bastar Adivasi</w:t>
      </w:r>
      <w:r>
        <w:rPr>
          <w:rFonts w:ascii="Times New Roman" w:eastAsia="Times New Roman" w:hAnsi="Times New Roman" w:cs="Times New Roman"/>
          <w:vertAlign w:val="superscript"/>
        </w:rPr>
        <w:footnoteReference w:id="19"/>
      </w:r>
      <w:r>
        <w:rPr>
          <w:rFonts w:ascii="Times New Roman" w:eastAsia="Times New Roman" w:hAnsi="Times New Roman" w:cs="Times New Roman"/>
        </w:rPr>
        <w:t xml:space="preserve"> struggles against land acquisition for steel plants and industrial corridors, Adivasis have established their right to determine the destiny of their lands and lives. These struggles expose the underlying contradiction of India's development model: the conflict between extractive economic growth and the constitutional guarantee of justice, dignity, and self-governance for all citizens, including its most marginalised (Smith, 2012). That India's "mining map" so closely overlies its "tribal map" is not an accident; it is a sign of a structural condition in which Adivasi territory is perceived not as a socio-cultural domain but as a repository of raw material for the nation's industrial aspirations. (Ahmed, 2024). Even as the state professes its commitment to tribal well-being through initiatives such as the </w:t>
      </w:r>
      <w:proofErr w:type="spellStart"/>
      <w:r>
        <w:rPr>
          <w:rFonts w:ascii="Times New Roman" w:eastAsia="Times New Roman" w:hAnsi="Times New Roman" w:cs="Times New Roman"/>
        </w:rPr>
        <w:t>Vanbandhu</w:t>
      </w:r>
      <w:proofErr w:type="spellEnd"/>
      <w:r>
        <w:rPr>
          <w:rFonts w:ascii="Times New Roman" w:eastAsia="Times New Roman" w:hAnsi="Times New Roman" w:cs="Times New Roman"/>
        </w:rPr>
        <w:t xml:space="preserve"> Kalyan Yojana</w:t>
      </w:r>
      <w:r>
        <w:rPr>
          <w:rFonts w:ascii="Times New Roman" w:eastAsia="Times New Roman" w:hAnsi="Times New Roman" w:cs="Times New Roman"/>
          <w:vertAlign w:val="superscript"/>
        </w:rPr>
        <w:footnoteReference w:id="20"/>
      </w:r>
      <w:r>
        <w:rPr>
          <w:rFonts w:ascii="Times New Roman" w:eastAsia="Times New Roman" w:hAnsi="Times New Roman" w:cs="Times New Roman"/>
        </w:rPr>
        <w:t xml:space="preserve"> or the Tribal Sub-Plan</w:t>
      </w:r>
      <w:r>
        <w:rPr>
          <w:rFonts w:ascii="Times New Roman" w:eastAsia="Times New Roman" w:hAnsi="Times New Roman" w:cs="Times New Roman"/>
          <w:vertAlign w:val="superscript"/>
        </w:rPr>
        <w:footnoteReference w:id="21"/>
      </w:r>
      <w:r>
        <w:rPr>
          <w:rFonts w:ascii="Times New Roman" w:eastAsia="Times New Roman" w:hAnsi="Times New Roman" w:cs="Times New Roman"/>
        </w:rPr>
        <w:t xml:space="preserve">, its on-ground activities belie an overriding obsession with resource extraction. Additionally, the rhetoric of development has been used repeatedly to splinter and manage tribal resistance. The state's patronage towards </w:t>
      </w:r>
      <w:r>
        <w:rPr>
          <w:rFonts w:ascii="Times New Roman" w:eastAsia="Times New Roman" w:hAnsi="Times New Roman" w:cs="Times New Roman"/>
        </w:rPr>
        <w:lastRenderedPageBreak/>
        <w:t>some segments of tribal elites, the co-optation of tribal leaders into the mainstream political parties, and the utilisation of development money to foster dependencies have all contributed to undermining the solidarity of tribal movements. In Maoist-affected areas like Chhattisgarh and Jharkhand, the response of the state has often been militarisation rather than genuine dialogue, fuelling the cycle of violence and repression. The use of para-military personnel under the guise of "Operation Green Hunt</w:t>
      </w:r>
      <w:r>
        <w:rPr>
          <w:rFonts w:ascii="Times New Roman" w:eastAsia="Times New Roman" w:hAnsi="Times New Roman" w:cs="Times New Roman"/>
          <w:vertAlign w:val="superscript"/>
        </w:rPr>
        <w:footnoteReference w:id="22"/>
      </w:r>
      <w:r>
        <w:rPr>
          <w:rFonts w:ascii="Times New Roman" w:eastAsia="Times New Roman" w:hAnsi="Times New Roman" w:cs="Times New Roman"/>
        </w:rPr>
        <w:t xml:space="preserve">" or the setting up of vigilante groups such as Salwa </w:t>
      </w:r>
      <w:proofErr w:type="spellStart"/>
      <w:r>
        <w:rPr>
          <w:rFonts w:ascii="Times New Roman" w:eastAsia="Times New Roman" w:hAnsi="Times New Roman" w:cs="Times New Roman"/>
        </w:rPr>
        <w:t>Judum</w:t>
      </w:r>
      <w:proofErr w:type="spellEnd"/>
      <w:r>
        <w:rPr>
          <w:rFonts w:ascii="Times New Roman" w:eastAsia="Times New Roman" w:hAnsi="Times New Roman" w:cs="Times New Roman"/>
        </w:rPr>
        <w:t xml:space="preserve"> has caused great suffering to Adivasi people, further weakening their confidence in the state machinery. These events reflect the perilous implications of a development model that emphasises economic parameters more at the cost of human rights and treats tribal life as an impediment to national advancement. (</w:t>
      </w:r>
      <w:proofErr w:type="spellStart"/>
      <w:r>
        <w:rPr>
          <w:rFonts w:ascii="Times New Roman" w:eastAsia="Times New Roman" w:hAnsi="Times New Roman" w:cs="Times New Roman"/>
        </w:rPr>
        <w:t>Mcalister</w:t>
      </w:r>
      <w:proofErr w:type="spellEnd"/>
      <w:r>
        <w:rPr>
          <w:rFonts w:ascii="Times New Roman" w:eastAsia="Times New Roman" w:hAnsi="Times New Roman" w:cs="Times New Roman"/>
        </w:rPr>
        <w:t xml:space="preserve"> et al., 2024). The post-colonial Indian state's agenda for tribal development has also reproduced much of the colonial logic and practices, though under a revised ideological framework. The ongoing displacement of Adivasis, the partial implementation of protective legislation such as PESA, and the repression of tribal opposition all indicate a structural inability to acknowledge Adivasis as the agents of their own fate. Any serious attempt at decolonising tribal governance and development must start by challenging the mainstream development paradigm's assumptions. It has to transition from "integrating" the tribals into the nation to acceding to their right to remain different and practice alternative economies, ecologies, and politics. Only such a radical reimagining of development can address the historical injustices inflicted upon tribal communities and pave the way for a more just and pluralistic India.</w:t>
      </w:r>
    </w:p>
    <w:p w14:paraId="6D87DBE1" w14:textId="77777777" w:rsidR="003934E1" w:rsidRDefault="003934E1">
      <w:pPr>
        <w:spacing w:after="200" w:line="276" w:lineRule="auto"/>
        <w:jc w:val="both"/>
        <w:rPr>
          <w:rFonts w:ascii="Times New Roman" w:eastAsia="Times New Roman" w:hAnsi="Times New Roman" w:cs="Times New Roman"/>
        </w:rPr>
      </w:pPr>
    </w:p>
    <w:p w14:paraId="100B3363" w14:textId="77777777" w:rsidR="003934E1" w:rsidRDefault="00000000">
      <w:pPr>
        <w:spacing w:after="200" w:line="276"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The Legacy of Birsa Munda: A Decolonial Epistemology</w:t>
      </w:r>
    </w:p>
    <w:p w14:paraId="18BF1EFB"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The icon of Birsa Munda</w:t>
      </w:r>
      <w:r>
        <w:rPr>
          <w:rFonts w:ascii="Times New Roman" w:eastAsia="Times New Roman" w:hAnsi="Times New Roman" w:cs="Times New Roman"/>
          <w:vertAlign w:val="superscript"/>
        </w:rPr>
        <w:footnoteReference w:id="23"/>
      </w:r>
      <w:r>
        <w:rPr>
          <w:rFonts w:ascii="Times New Roman" w:eastAsia="Times New Roman" w:hAnsi="Times New Roman" w:cs="Times New Roman"/>
        </w:rPr>
        <w:t xml:space="preserve"> as a radiant emblem in the annals of India's tribal rebellion, not as a political figure or military insurgent, but as a deep epistemic resister to the colonial and caste hierarchy that tried to define, domesticate, and deplete tribal existence. Birsa Munda’s leadership during the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(translated as 'Great Tumult') movement in the late 19th century must be understood in terms far richer than simple anti-colonial revolt(Richter-</w:t>
      </w:r>
      <w:proofErr w:type="spellStart"/>
      <w:r>
        <w:rPr>
          <w:rFonts w:ascii="Times New Roman" w:eastAsia="Times New Roman" w:hAnsi="Times New Roman" w:cs="Times New Roman"/>
        </w:rPr>
        <w:t>Devroe</w:t>
      </w:r>
      <w:proofErr w:type="spellEnd"/>
      <w:r>
        <w:rPr>
          <w:rFonts w:ascii="Times New Roman" w:eastAsia="Times New Roman" w:hAnsi="Times New Roman" w:cs="Times New Roman"/>
        </w:rPr>
        <w:t>, 2012). His struggle was simultaneously material and metaphysical, political and spiritual, economic and cultural. At the heart of Birsa’s rebellion lay a radical assertion of tribal sovereignty over land and forests and knowledge, belief, and meaning itself(Null, 2015). At a time when colonial officials, Christian missionaries, and caste Hindu reformers alike attempted to "improve," "civilise," or "convert" the Adivasi way of life, Birsa Munda reaffirmed the sovereignty of his people's worldview and manner of being. His repudiation of both the British-imposed land-</w:t>
      </w:r>
      <w:r>
        <w:rPr>
          <w:rFonts w:ascii="Times New Roman" w:eastAsia="Times New Roman" w:hAnsi="Times New Roman" w:cs="Times New Roman"/>
        </w:rPr>
        <w:lastRenderedPageBreak/>
        <w:t xml:space="preserve">tenure systems and the exploitative habits of the </w:t>
      </w:r>
      <w:proofErr w:type="spellStart"/>
      <w:r>
        <w:rPr>
          <w:rFonts w:ascii="Times New Roman" w:eastAsia="Times New Roman" w:hAnsi="Times New Roman" w:cs="Times New Roman"/>
        </w:rPr>
        <w:t>Dikus</w:t>
      </w:r>
      <w:proofErr w:type="spellEnd"/>
      <w:r>
        <w:rPr>
          <w:rFonts w:ascii="Times New Roman" w:eastAsia="Times New Roman" w:hAnsi="Times New Roman" w:cs="Times New Roman"/>
        </w:rPr>
        <w:t xml:space="preserve"> (the non-tribal intruders)</w:t>
      </w:r>
      <w:r>
        <w:rPr>
          <w:rFonts w:ascii="Times New Roman" w:eastAsia="Times New Roman" w:hAnsi="Times New Roman" w:cs="Times New Roman"/>
          <w:vertAlign w:val="superscript"/>
        </w:rPr>
        <w:footnoteReference w:id="24"/>
      </w:r>
      <w:r>
        <w:rPr>
          <w:rFonts w:ascii="Times New Roman" w:eastAsia="Times New Roman" w:hAnsi="Times New Roman" w:cs="Times New Roman"/>
        </w:rPr>
        <w:t xml:space="preserve"> was followed by a repudiation of the very knowledge systems of European Christianity, Orientalist ethnography, and caste Hinduism, which classified, controlled, and diminished tribal life. Birsa's assertion was not one of justice under the dominant system; it was one of the rights to define reality on his people's terms. Birsa's vision was deeply decolonial. It did not want to substitute British masters with indigenous ones or press for admission into colonial structures; instead, it envisioned a completely different notion of society, nature, and the divine (</w:t>
      </w: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xml:space="preserve">, 2008). Birsa declared himself the Bhagwan (God) of the Munda people not as an exercise of vanity but as a theological and political gesture that undermined both the Christian missionary claim to spiritual proprietorship and the Hindu caste order's claim to religious universalism. His doctrine reinterpreted religious faith, social morality, and ecological stewardship on distinctly tribal terms. The hills, rivers, and forests of </w:t>
      </w:r>
      <w:proofErr w:type="spellStart"/>
      <w:r>
        <w:rPr>
          <w:rFonts w:ascii="Times New Roman" w:eastAsia="Times New Roman" w:hAnsi="Times New Roman" w:cs="Times New Roman"/>
        </w:rPr>
        <w:t>Chhotanagpur</w:t>
      </w:r>
      <w:proofErr w:type="spellEnd"/>
      <w:r>
        <w:rPr>
          <w:rFonts w:ascii="Times New Roman" w:eastAsia="Times New Roman" w:hAnsi="Times New Roman" w:cs="Times New Roman"/>
        </w:rPr>
        <w:t xml:space="preserve"> were not dead resources to be tapped (as the imaginings of British forest policy presumed), nor simply the scenery for Hindu sacred landscapes; they were living beings, integral to an ethical and metaphysical world in which people were guardians but not proprietors. Birsa's demand for recovering land rights was intertwined with his dream of right ecological relations, his appeal for moral rebirth among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indifferent to his denunciation of foreign religious and social structures that had shattered communal harmony (Chakrabarty, 2000). In this way, Birsa Munda presented an indigenous critique that combined the political and the spiritual, a conjunction that most Western and mainstream Indian political theory has failed to understand. His action was not an anachronistic retrogression to "primitive" religion but a deliberate, rational, and moral reaction to the double blows of colonial capitalism and caste-Hindu cultural hegemony.</w:t>
      </w:r>
    </w:p>
    <w:p w14:paraId="771437A1"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Reclaiming the epistemological inheritance of Birsa Munda is not simply a work for historians eager to get the facts straight; it is at the heart of any authentic project of decolonising tribal studies today. Within the prevailing academic orthodoxy, be it colonial ethnography or postcolonial social science, Adivasi belief systems have tended to be objectified as something to be studied, as quaint folklore, myth, or superstition to be documented and interpreted by outside experts. (López. Least often, such systems have been accorded the dignity of philosophy or theory, of living, evolving frameworks that can give rise to insight into ethics, ecology, governance, and community. Birsa Munda's practice and thinking upsets this epistemic hierarchy. His movement reminds us that tribal knowledges are not survivals from the past but different modernities rich in their ability to inform human-nature relations, elaborate visions of social justice, and inspire resistances every bit as nuanced as those generated in the classrooms of academe or the writings of Western political theory. (Casey, 2009). Working with Birsa Munda's epistemology involves scholars stepping into tribal knowledge on its own terms, not just as facts to be decoded using theories of the outside world, but as theory itself, a site of conceptual and moral creativity. It makes demands for methodological humility and flexibility unusual in the dominant academic disciplines. The </w:t>
      </w:r>
      <w:r>
        <w:rPr>
          <w:rFonts w:ascii="Times New Roman" w:eastAsia="Times New Roman" w:hAnsi="Times New Roman" w:cs="Times New Roman"/>
        </w:rPr>
        <w:lastRenderedPageBreak/>
        <w:t xml:space="preserve">stories of </w:t>
      </w:r>
      <w:proofErr w:type="spellStart"/>
      <w:r>
        <w:rPr>
          <w:rFonts w:ascii="Times New Roman" w:eastAsia="Times New Roman" w:hAnsi="Times New Roman" w:cs="Times New Roman"/>
        </w:rPr>
        <w:t>Ulgalan</w:t>
      </w:r>
      <w:proofErr w:type="spellEnd"/>
      <w:r>
        <w:rPr>
          <w:rFonts w:ascii="Times New Roman" w:eastAsia="Times New Roman" w:hAnsi="Times New Roman" w:cs="Times New Roman"/>
        </w:rPr>
        <w:t>, the instructions of Birsa, and the traditions of the Munda people need to be read not just for their historical value but for their relevance today, as presenting models of ecological care in the climate crisis era, of communal self-governance in the bureaucratic centralising era, and of spiritual revival in an era of cultural uniformity. Decolonising Adivasi studies, in this way, is not an act of compensation or concession; it is a shift in thinking itself, recognising that Adivasi knowledge systems are essential interlocutors in the world's conversation on what it means to live well, with justice, and in sustainability.</w:t>
      </w:r>
    </w:p>
    <w:p w14:paraId="5DA72162"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The epistemic decolonisation driven by Birsa Munda also has significant policy and practice implications. Development programs, law, and governmental structures must be constructed not only to "provide services"(Nakata, 2007) To tribal people, and to honour and facilitate important self-conceptions of the good life. Land rights, for instance, cannot be translated into marketable property titles but have to be conceptualised in cosmological language expressed by leaders such as Birsa, where land is not a commodity but a sacred trust. So, education for Adivasi children must extend beyond the imposition of standard curricula to involve passing on and revitalising indigenous language, histories, and worldviews. (</w:t>
      </w:r>
      <w:proofErr w:type="spellStart"/>
      <w:r>
        <w:rPr>
          <w:rFonts w:ascii="Times New Roman" w:eastAsia="Times New Roman" w:hAnsi="Times New Roman" w:cs="Times New Roman"/>
        </w:rPr>
        <w:t>Tykhonov</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Braukmann</w:t>
      </w:r>
      <w:proofErr w:type="spellEnd"/>
      <w:r>
        <w:rPr>
          <w:rFonts w:ascii="Times New Roman" w:eastAsia="Times New Roman" w:hAnsi="Times New Roman" w:cs="Times New Roman"/>
        </w:rPr>
        <w:t>, 2020). Care must be included, not excluded, from healing knowledge contained in tribal medicine. In this manner, Birsa Munda's legacy is not wistful nostalgia but of immediate, contemporary relevance. Birsa Munda challenges us to reconsider the very bases of knowledge and politics. (Banerjee, 2000). His existence and movement revealed the brutality of modernity that aims to annihilate differences in pursuing progress and universalising plurality. However, he also made evident the potential for another modernity based on local knowledge, communal existence, and spiritual richness, open to transformation but not to erasure. As the world and India struggle to meet the challenge of the ecological, social, and moral crises of the 21st century, Birsa Munda's decolonial epistemology provides not just a critique but a vision, a method of envisioning futures that are both sustainable, diverse, and united as they are just. For scholars, activists, and policymakers alike, engaging with this vision is not optional but essential for creating a truly plural, democratic, and humane society.</w:t>
      </w:r>
    </w:p>
    <w:p w14:paraId="6FB89D37" w14:textId="77777777" w:rsidR="003934E1" w:rsidRDefault="003934E1">
      <w:pPr>
        <w:spacing w:after="200" w:line="276" w:lineRule="auto"/>
        <w:jc w:val="both"/>
        <w:rPr>
          <w:rFonts w:ascii="Times New Roman" w:eastAsia="Times New Roman" w:hAnsi="Times New Roman" w:cs="Times New Roman"/>
          <w:sz w:val="30"/>
          <w:szCs w:val="30"/>
        </w:rPr>
      </w:pPr>
    </w:p>
    <w:p w14:paraId="18744769" w14:textId="77777777" w:rsidR="003934E1" w:rsidRDefault="00000000">
      <w:pPr>
        <w:spacing w:after="200" w:line="276"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Indigenous Knowledge Systems: Ecology, Ethics, and Economy</w:t>
      </w:r>
    </w:p>
    <w:p w14:paraId="3FE4475C"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Indian indigenous tribal communities have highly developed, complex knowledge systems integral to their ecological environments and </w:t>
      </w:r>
      <w:proofErr w:type="spellStart"/>
      <w:r>
        <w:rPr>
          <w:rFonts w:ascii="Times New Roman" w:eastAsia="Times New Roman" w:hAnsi="Times New Roman" w:cs="Times New Roman"/>
        </w:rPr>
        <w:t>lifeworlds</w:t>
      </w:r>
      <w:proofErr w:type="spellEnd"/>
      <w:r>
        <w:rPr>
          <w:rFonts w:ascii="Times New Roman" w:eastAsia="Times New Roman" w:hAnsi="Times New Roman" w:cs="Times New Roman"/>
        </w:rPr>
        <w:t>. Such knowledge systems are not static residues of a distant past nor cultural curiosities; they are dynamic, living systems of understanding, which regulate agriculture, forest use, water conservation, medicine, and the sustainable exploitation of biodiversity. Whether in the Northeast's jhum cultivation, the Western Ghats' sacred groves, or central India's community-managed forests, these practices show a highly evolved and adaptive response to local climatic regimes, soil fertility patterns, hydrology, and ecological cycles(Leavitt et al., 2015). Tribal farming systems, for instance, do not rest on maximising short-term output like industrial monocultures but on maintaining the fertility and vitality of the land over generations. Such systems usually use polyculture practices that promote diversity, ensure pest balance naturally, and safeguard against climatic variability-induced crop failure(“</w:t>
      </w:r>
      <w:proofErr w:type="spellStart"/>
      <w:r>
        <w:rPr>
          <w:rFonts w:ascii="Times New Roman" w:eastAsia="Times New Roman" w:hAnsi="Times New Roman" w:cs="Times New Roman"/>
        </w:rPr>
        <w:t>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Rangahau</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Tuakiri</w:t>
      </w:r>
      <w:proofErr w:type="spellEnd"/>
      <w:r>
        <w:rPr>
          <w:rFonts w:ascii="Times New Roman" w:eastAsia="Times New Roman" w:hAnsi="Times New Roman" w:cs="Times New Roman"/>
        </w:rPr>
        <w:t xml:space="preserve"> Māori Me </w:t>
      </w:r>
      <w:proofErr w:type="spellStart"/>
      <w:r>
        <w:rPr>
          <w:rFonts w:ascii="Times New Roman" w:eastAsia="Times New Roman" w:hAnsi="Times New Roman" w:cs="Times New Roman"/>
        </w:rPr>
        <w:t>Ngā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Waiaro</w:t>
      </w:r>
      <w:proofErr w:type="spellEnd"/>
      <w:r>
        <w:rPr>
          <w:rFonts w:ascii="Times New Roman" w:eastAsia="Times New Roman" w:hAnsi="Times New Roman" w:cs="Times New Roman"/>
        </w:rPr>
        <w:t xml:space="preserve"> Ā-</w:t>
      </w:r>
      <w:proofErr w:type="spellStart"/>
      <w:r>
        <w:rPr>
          <w:rFonts w:ascii="Times New Roman" w:eastAsia="Times New Roman" w:hAnsi="Times New Roman" w:cs="Times New Roman"/>
        </w:rPr>
        <w:t>Pūtea</w:t>
      </w:r>
      <w:proofErr w:type="spellEnd"/>
      <w:r>
        <w:rPr>
          <w:rFonts w:ascii="Times New Roman" w:eastAsia="Times New Roman" w:hAnsi="Times New Roman" w:cs="Times New Roman"/>
        </w:rPr>
        <w:t xml:space="preserve"> | </w:t>
      </w:r>
      <w:r>
        <w:rPr>
          <w:rFonts w:ascii="Times New Roman" w:eastAsia="Times New Roman" w:hAnsi="Times New Roman" w:cs="Times New Roman"/>
        </w:rPr>
        <w:lastRenderedPageBreak/>
        <w:t>The Māori Identity and Financial Attitudes Study (</w:t>
      </w:r>
      <w:proofErr w:type="spellStart"/>
      <w:r>
        <w:rPr>
          <w:rFonts w:ascii="Times New Roman" w:eastAsia="Times New Roman" w:hAnsi="Times New Roman" w:cs="Times New Roman"/>
        </w:rPr>
        <w:t>Mifas</w:t>
      </w:r>
      <w:proofErr w:type="spellEnd"/>
      <w:r>
        <w:rPr>
          <w:rFonts w:ascii="Times New Roman" w:eastAsia="Times New Roman" w:hAnsi="Times New Roman" w:cs="Times New Roman"/>
        </w:rPr>
        <w:t>) - Background, Theoretical Orientation and First-Wave Response Rates,” 2019). In the same manner, the ancient water harvesting systems like the 'Johads' of Rajasthan tribal tracts or the hilly region's terraced paddy fields present a keen awareness of watershed processes and prevention of soil erosion, even before the catchword of "sustainable development" joined the vocabulary of contemporary environmental parlance. Just as impactful is the tribal understanding of forests as more than resource depots but as sacred places, occupied by spirits, dead ancestors, and non-human relatives. In this cosmological imagination, each aspect of nature, a river, a mountain, a tree, an animal, is given life and agency and is worthy of respect and moral regard. This cosmology generates a form of intrinsically sustainable life, with extraction and consumption regulated by norms of gratitude, restraint, and reciprocity instead of unlimited exploitation. (Baruah, 2005). These environmental ethics stand in stark contrast to the instrumental rationality of capitalist economies and state-led resource exploitation, where forests are turned into "timber stock," rivers into "irrigation potential," and land into "real estate." The Indian state's policies have all too infrequently legitimised or valued these indigenous systems. Instead, forest legislation, wildlife conservation acts, mining leases, and development plans have repeatedly shattered these knowledge systems, moving from mixed, community-held forests to monoculture plantations; proclaiming wildlife sanctuaries that drive out indigenous residents; or issuing open-cast mining permits across areas of sacred import(Barker, 2008). The Adivasis' displacement from their ancestral territories destroys their material lives and severs the complex ecological knowledges constructed and passed down over centuries, frequently communally and orally.</w:t>
      </w:r>
    </w:p>
    <w:p w14:paraId="33926173"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A decolonial engagement with ecology, ethics, and economy requires a radical questioning of this marginalisation. Indigenous knowledge systems can no longer be considered 'alternative' secondary, lesser, or obsolete approaches but as required and practical systems for addressing the various ecological crises of the modern era, from global warming to loss of biodiversity. The values inherent in tribal cosmologies, interconnectedness, respect for nature, communal responsibility, and moderated consumption, provide exactly the ethical and practical tools that industrialising societies today are looking for, albeit often in disjointed and technocratic form like "green technology</w:t>
      </w:r>
      <w:r>
        <w:rPr>
          <w:rFonts w:ascii="Times New Roman" w:eastAsia="Times New Roman" w:hAnsi="Times New Roman" w:cs="Times New Roman"/>
          <w:vertAlign w:val="superscript"/>
        </w:rPr>
        <w:footnoteReference w:id="25"/>
      </w:r>
      <w:r>
        <w:rPr>
          <w:rFonts w:ascii="Times New Roman" w:eastAsia="Times New Roman" w:hAnsi="Times New Roman" w:cs="Times New Roman"/>
        </w:rPr>
        <w:t xml:space="preserve">" or "carbon offsetting(Hugon, 2000)." For example, when Odisha or Jharkhand tribal communities protest against bauxite mining on their sacred hills, they are not driven by irrational superstition. However, they are articulating an ecological philosophy of the long-term cost of ecological degradation, a philosophy to which modern environmental economics has only now begun to return in notions of ecosystem services and ecological debt. In addition, decolonisation of knowledge means that state institutions, science institutions, and development organisations go beyond tokenistic "inclusion" of tribal perceptions and instead engage in authentic co-creation with these knowledge holders. It involves acknowledging the </w:t>
      </w:r>
      <w:r>
        <w:rPr>
          <w:rFonts w:ascii="Times New Roman" w:eastAsia="Times New Roman" w:hAnsi="Times New Roman" w:cs="Times New Roman"/>
        </w:rPr>
        <w:lastRenderedPageBreak/>
        <w:t xml:space="preserve">epistemic leadership of tribal elders, shamans, farmers, and forest dwellers not as informants for foreign researchers but as co-theorizers and co-practitioners of ecological knowledge (Damodaran, 2006). It also involves rewriting legal and policy structures to honour tribal jurisdiction over land, water, and forests, as in the Forest Rights Act (2006) and the Panchayat (Extension to Scheduled Areas) Act (1996), not as welfare programs or concessions, but as restorations of rightful sovereignty. Such a path is evidenced by forest conservation efforts in states such as Maharashtra and Odisha, where tribal management has resulted in more favourable ecological results than state reserves. The same may be said of traditional medicinal knowledge, more often than not belittled or dismissed by allopathic healthcare systems yet containing enormous potential for locally suitable, affordable healthcare once its custodians are accorded respect and their intellectual property protected from biopiracy. For scholarship, this change demands methodological humility and interdisciplinarity. Anthropologists, ecologists, political scientists, and economists must acquire the skills to interact with tribal knowledge systems not as objects of research but as epistemological sources of insight and critique capable of transforming their own discipline's assumptions. This would mean a shift away from extractive research paradigms to participatory and emancipatory approaches, where research questions, methods, and meanings are co-constituted in conversation with the tribal communities themselves. Thus, scholars can assist in overturning the entrenched hierarchies that persist in relegating tribal knowledge to the periphery of world epistemic systems. Such a participation can also enrich the larger discourses around sustainability, governance of commons, and environmental justice by introducing points of view that are holistic, relational, and ethically informed attributes that are usually lacking in dominant economic and policy frameworks that overvalue abstraction at the expense of lived realities Embracing and revalidating indigenous knowledge systems is not a matter of cultural preservation alone but one of ecological survival(Fournier et al., 2023). With the planet confronting unprecedented ecological crises, the teachings encoded in tribal </w:t>
      </w:r>
      <w:proofErr w:type="spellStart"/>
      <w:r>
        <w:rPr>
          <w:rFonts w:ascii="Times New Roman" w:eastAsia="Times New Roman" w:hAnsi="Times New Roman" w:cs="Times New Roman"/>
        </w:rPr>
        <w:t>cosmo</w:t>
      </w:r>
      <w:proofErr w:type="spellEnd"/>
      <w:r>
        <w:rPr>
          <w:rFonts w:ascii="Times New Roman" w:eastAsia="Times New Roman" w:hAnsi="Times New Roman" w:cs="Times New Roman"/>
        </w:rPr>
        <w:t>-visions of limits, balance, and awe are more pressing than ever. If it is to be equitable and long-term, the future of sustainable development cannot be founded on the erasure of such knowledge traditions(Denzin et al., 2008). Instead, it needs their flourishing, transformation, and respectful integration into larger societal paradigms. This is the promise of a properly decolonial ecology where indigenous economies and ethics are not on the periphery but at the forefront of experiments to envision and build more equitable, sustainable, and meaningful living forms. For India, with its great and varied tradition of tribal cultures, this is both a moral necessity and a deep challenge to create a path of development that can reconcile growth with justice, and modernity with memory.</w:t>
      </w:r>
    </w:p>
    <w:p w14:paraId="11B14821" w14:textId="77777777" w:rsidR="003934E1" w:rsidRDefault="003934E1">
      <w:pPr>
        <w:spacing w:after="200" w:line="276" w:lineRule="auto"/>
        <w:jc w:val="both"/>
        <w:rPr>
          <w:rFonts w:ascii="Times New Roman" w:eastAsia="Times New Roman" w:hAnsi="Times New Roman" w:cs="Times New Roman"/>
        </w:rPr>
      </w:pPr>
    </w:p>
    <w:p w14:paraId="5928DB2D" w14:textId="77777777" w:rsidR="003934E1" w:rsidRDefault="003934E1">
      <w:pPr>
        <w:spacing w:after="200" w:line="276" w:lineRule="auto"/>
        <w:jc w:val="center"/>
        <w:rPr>
          <w:rFonts w:ascii="Times New Roman" w:eastAsia="Times New Roman" w:hAnsi="Times New Roman" w:cs="Times New Roman"/>
          <w:sz w:val="28"/>
          <w:szCs w:val="28"/>
          <w:u w:val="single"/>
        </w:rPr>
      </w:pPr>
    </w:p>
    <w:p w14:paraId="0F6D283D" w14:textId="77777777" w:rsidR="003934E1" w:rsidRDefault="00000000">
      <w:pPr>
        <w:spacing w:after="200" w:line="276"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Media and Popular Discourse, Representation in Education</w:t>
      </w:r>
    </w:p>
    <w:p w14:paraId="69AD6C4C"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representation of tribal communities in mainstream Indian media, educational processes, and popular culture still adopts centuries-old stereotypes dating back to colonial and post-colonial constructions of the 'tribal' as the exotic 'other'. In state school books, the tribal </w:t>
      </w:r>
      <w:r>
        <w:rPr>
          <w:rFonts w:ascii="Times New Roman" w:eastAsia="Times New Roman" w:hAnsi="Times New Roman" w:cs="Times New Roman"/>
        </w:rPr>
        <w:lastRenderedPageBreak/>
        <w:t xml:space="preserve">communities are represented in monolithic, simplistic terms either as 'backwards' populations trailing behind the alleged progress of modernity or as flashback remnants trapped in time. Such portrayals represent tribal societies as objects requiring state-directed development and action, but not as vibrant, self-governing societies with their own epistemologies, cultural diversity, and histories.(Gilio-Whitaker, 2024). This </w:t>
      </w:r>
      <w:proofErr w:type="spellStart"/>
      <w:r>
        <w:rPr>
          <w:rFonts w:ascii="Times New Roman" w:eastAsia="Times New Roman" w:hAnsi="Times New Roman" w:cs="Times New Roman"/>
        </w:rPr>
        <w:t>misframing</w:t>
      </w:r>
      <w:proofErr w:type="spellEnd"/>
      <w:r>
        <w:rPr>
          <w:rFonts w:ascii="Times New Roman" w:eastAsia="Times New Roman" w:hAnsi="Times New Roman" w:cs="Times New Roman"/>
        </w:rPr>
        <w:t xml:space="preserve"> is not only present in schooling but also in mainstream media like films, TV serials, and documentaries, where the tribal way of life is repeatedly boiled down to a limited set of stereotypes: abject poverty, primal brutality, mysticism, or superstitious ritual. Such representations function to reaffirm the distance and difference between tribal and non-tribal groups, indirectly legitimating the ongoing marginalisation and exclusion of tribal communities from the social, economic, and political mainstream.(Tuck, 2009). Whether the 'noble savage</w:t>
      </w:r>
      <w:r>
        <w:rPr>
          <w:rFonts w:ascii="Times New Roman" w:eastAsia="Times New Roman" w:hAnsi="Times New Roman" w:cs="Times New Roman"/>
          <w:vertAlign w:val="superscript"/>
        </w:rPr>
        <w:footnoteReference w:id="26"/>
      </w:r>
      <w:r>
        <w:rPr>
          <w:rFonts w:ascii="Times New Roman" w:eastAsia="Times New Roman" w:hAnsi="Times New Roman" w:cs="Times New Roman"/>
        </w:rPr>
        <w:t>' fantasy or the 'violent rebel'</w:t>
      </w:r>
      <w:r>
        <w:rPr>
          <w:rFonts w:ascii="Times New Roman" w:eastAsia="Times New Roman" w:hAnsi="Times New Roman" w:cs="Times New Roman"/>
          <w:vertAlign w:val="superscript"/>
        </w:rPr>
        <w:footnoteReference w:id="27"/>
      </w:r>
      <w:r>
        <w:rPr>
          <w:rFonts w:ascii="Times New Roman" w:eastAsia="Times New Roman" w:hAnsi="Times New Roman" w:cs="Times New Roman"/>
        </w:rPr>
        <w:t xml:space="preserve"> Stereotypes, such as caricatures, efface the complexity of tribal societies, their struggles, hopes, innovations, and contributions to India's varied cultural mosaic. This systemic misrepresentation also has severe implications for tribal self-esteem and group identity. When tribal children open school books or watch media depicting their people as backwards, illiterate, or less civilised, it undermines their sense of pride and belongingness. At the same time, non-tribal students and the public are subtly conditioned to think about these communities in terms of patronising pity, suspicion, or condescension, </w:t>
      </w:r>
      <w:proofErr w:type="spellStart"/>
      <w:r>
        <w:rPr>
          <w:rFonts w:ascii="Times New Roman" w:eastAsia="Times New Roman" w:hAnsi="Times New Roman" w:cs="Times New Roman"/>
        </w:rPr>
        <w:t>fueling</w:t>
      </w:r>
      <w:proofErr w:type="spellEnd"/>
      <w:r>
        <w:rPr>
          <w:rFonts w:ascii="Times New Roman" w:eastAsia="Times New Roman" w:hAnsi="Times New Roman" w:cs="Times New Roman"/>
        </w:rPr>
        <w:t xml:space="preserve"> cycles of social exclusion. Notably, voices of the tribes, whether in the national media, literature, or among academics, are still infrequent, and where they do emerge, they are frequently filtered through the descriptions of non-tribal writers, filmmakers, or reporters. (Basu, 1998). This absence of genuine representation prevents the tribes from being able to shape their own stories, pasts, and present-day realities.(Gaudry &amp; Lorenz, 2018). The literary sphere, for instance, has only in the last couple of decades started to acknowledge the role of Adivasi authors who write in their own tongues or centre tribal voices in their fiction. Even here, publishing constraints, language marginalisation, and market indifference prevent such voices from becoming mainstream.</w:t>
      </w:r>
    </w:p>
    <w:p w14:paraId="3D208C08"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Correcting these distortions means radically reorganising India's cultural and communication infrastructure, a deliberate attempt to establish and nurture spaces where tribal self-representation is the rule rather than the exception. Education entails rewriting textbooks to incorporate the histories, philosophies, and literary achievements of tribal societies not as marginal 'chapters' but as part of India's shared narrative. Tribal languages should be maintained and fostered as vehicles of learning, creativity, and scholarship, and their function in transmitting unique modes of perceiving the world. Media and journalism should leave room for tribal editors, reporters, filmmakers, and content creators to tell their communities' stories </w:t>
      </w:r>
      <w:r>
        <w:rPr>
          <w:rFonts w:ascii="Times New Roman" w:eastAsia="Times New Roman" w:hAnsi="Times New Roman" w:cs="Times New Roman"/>
        </w:rPr>
        <w:lastRenderedPageBreak/>
        <w:t>from the inside, instead of repeatedly being represented by others (</w:t>
      </w:r>
      <w:proofErr w:type="spellStart"/>
      <w:r>
        <w:rPr>
          <w:rFonts w:ascii="Times New Roman" w:eastAsia="Times New Roman" w:hAnsi="Times New Roman" w:cs="Times New Roman"/>
        </w:rPr>
        <w:t>Dungdung</w:t>
      </w:r>
      <w:proofErr w:type="spellEnd"/>
      <w:r>
        <w:rPr>
          <w:rFonts w:ascii="Times New Roman" w:eastAsia="Times New Roman" w:hAnsi="Times New Roman" w:cs="Times New Roman"/>
        </w:rPr>
        <w:t xml:space="preserve">, 2015). There has been some development in this direction with the emergence of Adivasi media collectives and tribal journalist-led regional news platforms; however, their influence and reach continue to be circumscribed by structural disparities in digital access, funding, and institutional resources. Digital media is also potentially a democratizing force via social media sites, YouTube channels, standalone websites, and podcasts. Tribal creators have discovered new methods of expressing their identities, disseminating knowledge, and contesting mainstream narratives(Coulthard, 2007). However, this potential is still unevenly distributed. Most tribal areas lack infrastructure, such as good internet connectivity, affordable devices, and digital literacy, which hinders massive participation in the digital public sphere. Closing this digital divide is thus a critical aspect of the decolonising project, making available to tribal communities the instruments of contemporary communication on their own terms. In addition, literary festivals, film awards, and cultural forums must actively feature and celebrate tribal creativity not as tokenistic gestures but as vital additions to India's cultural tapestry(Meyer, 2008). When tribal writers such as Hansda </w:t>
      </w:r>
      <w:proofErr w:type="spellStart"/>
      <w:r>
        <w:rPr>
          <w:rFonts w:ascii="Times New Roman" w:eastAsia="Times New Roman" w:hAnsi="Times New Roman" w:cs="Times New Roman"/>
        </w:rPr>
        <w:t>Sowvendra</w:t>
      </w:r>
      <w:proofErr w:type="spellEnd"/>
      <w:r>
        <w:rPr>
          <w:rFonts w:ascii="Times New Roman" w:eastAsia="Times New Roman" w:hAnsi="Times New Roman" w:cs="Times New Roman"/>
        </w:rPr>
        <w:t xml:space="preserve"> Shekhar</w:t>
      </w:r>
      <w:r>
        <w:rPr>
          <w:rFonts w:ascii="Times New Roman" w:eastAsia="Times New Roman" w:hAnsi="Times New Roman" w:cs="Times New Roman"/>
          <w:vertAlign w:val="superscript"/>
        </w:rPr>
        <w:footnoteReference w:id="28"/>
      </w:r>
      <w:r>
        <w:rPr>
          <w:rFonts w:ascii="Times New Roman" w:eastAsia="Times New Roman" w:hAnsi="Times New Roman" w:cs="Times New Roman"/>
        </w:rPr>
        <w:t xml:space="preserve"> or tribal film-makers get their due recognition, they open the field for more inclusive discussions on tribal modernity, complexity, and agency (Chandra, 2016). The task of changing representation is not just technical or economic but epistemological. It involves challenging the structures in and through which tribal existence is imagined within the national imagination. It calls for educators, media makers, and policymakers to transcend viewing tribal peoples as passive objects of development or cultural curiosities instead of listening to them as active producers of meaning, knowledge, and visions of the future(Smith et al., 2018). Adivasi cosmologies, histories, and movements need to shape Indian thought on democracy, environment, and social justice, not just as issues of 'tribal welfare' but as part of the national and global human condition(Schechter, 2016). In this sense, accurate representation is not about inclusion into existing categories but about reshaping those categories themselves, acknowledging that the perspectives and experiences of India’s indigenous peoples offer alternative models of society, ethics, and progress. Only by such a fundamental transformation can the cycles of erasure, distortion, and marginalisation be terminated, enabling a future in which tribal sovereignty, creativity, and dignity are fully displayed and acknowledged in all spheres of public life.</w:t>
      </w:r>
    </w:p>
    <w:p w14:paraId="24A8E261" w14:textId="77777777" w:rsidR="003934E1" w:rsidRDefault="003934E1">
      <w:pPr>
        <w:spacing w:after="200" w:line="276" w:lineRule="auto"/>
        <w:jc w:val="both"/>
        <w:rPr>
          <w:rFonts w:ascii="Times New Roman" w:eastAsia="Times New Roman" w:hAnsi="Times New Roman" w:cs="Times New Roman"/>
        </w:rPr>
      </w:pPr>
    </w:p>
    <w:p w14:paraId="7E01640C" w14:textId="77777777" w:rsidR="003934E1" w:rsidRDefault="00000000">
      <w:pPr>
        <w:spacing w:after="200" w:line="276"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Gender and Tribal Identity: A Double Marginalisation</w:t>
      </w:r>
    </w:p>
    <w:p w14:paraId="16682523"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everyday lives of Adivasi women in India capture an exceptional intersectional marginalisation, such that their existence as female and tribal subjects makes them vulnerable to multiple systems of exclusion and </w:t>
      </w:r>
      <w:proofErr w:type="spellStart"/>
      <w:r>
        <w:rPr>
          <w:rFonts w:ascii="Times New Roman" w:eastAsia="Times New Roman" w:hAnsi="Times New Roman" w:cs="Times New Roman"/>
        </w:rPr>
        <w:t>invisibilization</w:t>
      </w:r>
      <w:proofErr w:type="spellEnd"/>
      <w:r>
        <w:rPr>
          <w:rFonts w:ascii="Times New Roman" w:eastAsia="Times New Roman" w:hAnsi="Times New Roman" w:cs="Times New Roman"/>
        </w:rPr>
        <w:t xml:space="preserve">. While scholars are accustomed to describing many Indian tribal societies as being traditionally more gender-egalitarian than the strictly patriarchal hierarchies of Hindu caste society, this seeming egalitarianism is not proof </w:t>
      </w:r>
      <w:r>
        <w:rPr>
          <w:rFonts w:ascii="Times New Roman" w:eastAsia="Times New Roman" w:hAnsi="Times New Roman" w:cs="Times New Roman"/>
        </w:rPr>
        <w:lastRenderedPageBreak/>
        <w:t>against the pressures of state intervention, capitalist development, and cultural incursion.(</w:t>
      </w:r>
      <w:proofErr w:type="spellStart"/>
      <w:r>
        <w:rPr>
          <w:rFonts w:ascii="Times New Roman" w:eastAsia="Times New Roman" w:hAnsi="Times New Roman" w:cs="Times New Roman"/>
        </w:rPr>
        <w:t>Kirmayer</w:t>
      </w:r>
      <w:proofErr w:type="spellEnd"/>
      <w:r>
        <w:rPr>
          <w:rFonts w:ascii="Times New Roman" w:eastAsia="Times New Roman" w:hAnsi="Times New Roman" w:cs="Times New Roman"/>
        </w:rPr>
        <w:t xml:space="preserve"> et al., 2014). Traditionally, Adivasi women have played a pivotal role in the survival of their societies not only as cultural reproducers but as custodians of essential ecological, medicinal, and agricultural knowledge. Their work in seed conservation, traditional healing, food sovereignty, and oral narratives is seminal to tribal </w:t>
      </w:r>
      <w:proofErr w:type="spellStart"/>
      <w:r>
        <w:rPr>
          <w:rFonts w:ascii="Times New Roman" w:eastAsia="Times New Roman" w:hAnsi="Times New Roman" w:cs="Times New Roman"/>
        </w:rPr>
        <w:t>lifeworlds</w:t>
      </w:r>
      <w:proofErr w:type="spellEnd"/>
      <w:r>
        <w:rPr>
          <w:rFonts w:ascii="Times New Roman" w:eastAsia="Times New Roman" w:hAnsi="Times New Roman" w:cs="Times New Roman"/>
        </w:rPr>
        <w:t>' survival and renewal. However, these inputs are not often acknowledged in either state policy or market economics, which still frame tribal areas through essentially masculine measures of work, productivity, and political voice.(Rauna Kuokkanen, 2011). Encroachment by modern development models like extractive mining operations, dam construction projects, and forest clearances has unfairly victimised Adivasi women by pushing them out of their land-based livelihoods and community-focused economies. Compelled migration into urban labour markets or brick kilns, for example, has not only financially impoverished them but also placed them at increased risks of gender violence, trafficking, and health vulnerability.</w:t>
      </w:r>
    </w:p>
    <w:p w14:paraId="34655E19"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In addition, these developmental dislocations are not just economic in scope; they profoundly impact Adivasi life's socio-cultural and spiritual texture, where women have long served as priestesses, healers, and guardians of collective memory. As state policies or private encroachment restrict forest rights, women frequently find their access to medicinal plants, minor forest products, and sacred groves integral to their cultural rituals and physical health jeopardised. (Guha, 1999). Paradoxically, although these women have centuries of localised environmental knowledge, now sought after by contemporary ecological science, they are made invisible in official discourse on development that regards them as unskilled or passive welfare recipients(Coulthard &amp; Alfred, 2014). This intellectual marginalisation finds reflection in the sites of tribal government and representation, where Adivasi men, even when active in movements, can reproduce patriarchal modes that minimise the voice of women. For example, processes of decision-making related to displacement or resistance in the community are often male-dominated, excluding the special minority view and priorities of women. However, Adivasi women carry the most significant loads, trekking further to fetch water in the wake of forest grabbing, coping with hunger when collective lands are taken over, or safeguarding the passing on of cultural practices during displacement. In contrast to these structural obstacles, Adivasi women have become strong voices of resistance and rejuvenation, pushing against external repression and internal patriarchal pressures (Fernandes, 2008). Struggles such as that of the </w:t>
      </w:r>
      <w:proofErr w:type="spellStart"/>
      <w:r>
        <w:rPr>
          <w:rFonts w:ascii="Times New Roman" w:eastAsia="Times New Roman" w:hAnsi="Times New Roman" w:cs="Times New Roman"/>
        </w:rPr>
        <w:t>Dongria</w:t>
      </w:r>
      <w:proofErr w:type="spellEnd"/>
      <w:r>
        <w:rPr>
          <w:rFonts w:ascii="Times New Roman" w:eastAsia="Times New Roman" w:hAnsi="Times New Roman" w:cs="Times New Roman"/>
        </w:rPr>
        <w:t xml:space="preserve"> Kondh community in Odisha, where women took key leadership positions in challenging Vedanta's bauxite mine projects on the sacred hills of </w:t>
      </w:r>
      <w:proofErr w:type="spellStart"/>
      <w:r>
        <w:rPr>
          <w:rFonts w:ascii="Times New Roman" w:eastAsia="Times New Roman" w:hAnsi="Times New Roman" w:cs="Times New Roman"/>
        </w:rPr>
        <w:t>Niyamgiri</w:t>
      </w:r>
      <w:proofErr w:type="spellEnd"/>
      <w:r>
        <w:rPr>
          <w:rFonts w:ascii="Times New Roman" w:eastAsia="Times New Roman" w:hAnsi="Times New Roman" w:cs="Times New Roman"/>
        </w:rPr>
        <w:t xml:space="preserve">, are exemplary of the convergence of ecological, cultural, and gendered resistance. For these women, protecting the land is inextricably linked with protecting their bodily integrity, cultural self, and community sovereignty(B. Jacobs, 2019). Their involvement was not random but based on the traditional conviction that women are the custodians of sacred earth, the "mother" of all life, and therefore responsible for its care in a special way. Parallel trends are observed in the </w:t>
      </w:r>
      <w:proofErr w:type="spellStart"/>
      <w:r>
        <w:rPr>
          <w:rFonts w:ascii="Times New Roman" w:eastAsia="Times New Roman" w:hAnsi="Times New Roman" w:cs="Times New Roman"/>
        </w:rPr>
        <w:t>Baiga</w:t>
      </w:r>
      <w:proofErr w:type="spellEnd"/>
      <w:r>
        <w:rPr>
          <w:rFonts w:ascii="Times New Roman" w:eastAsia="Times New Roman" w:hAnsi="Times New Roman" w:cs="Times New Roman"/>
        </w:rPr>
        <w:t xml:space="preserve"> and Gond women's struggle in Madhya Pradesh, the Khasi women's struggle in Meghalaya to protect matrilineal inheritance, and the Santhal women's struggle to claim rights on forest products and common property. These resistances provide an alternative narrative to prevailing tribal development models, proving that indigenous women's leadership can produce </w:t>
      </w:r>
      <w:r>
        <w:rPr>
          <w:rFonts w:ascii="Times New Roman" w:eastAsia="Times New Roman" w:hAnsi="Times New Roman" w:cs="Times New Roman"/>
        </w:rPr>
        <w:lastRenderedPageBreak/>
        <w:t>alternative conceptions of progress based on sustainability, autonomy, and cultural survival instead of extractive gain and state paternalism.</w:t>
      </w:r>
    </w:p>
    <w:p w14:paraId="2FD7A945"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A decolonial methodology in tribal studies cannot overlook gender as an addendum or an independent field of study; instead, gender has to be intrinsic to any effort at comprehending the intricacies of Adivasi existence and resistance. (Hardiman, 1987). This requires a methodological transition where Adivasi women's voices, opinions, and experiences become the focus of study, policy-making, and activism. Participatory research methods that involve tribal women not merely as ‘subjects’ but as co-researchers and theorists are essential to capturing the full spectrum of their knowledge and agency. Furthermore, state policies such as the Forest Rights Act (2006)</w:t>
      </w:r>
      <w:r>
        <w:rPr>
          <w:rFonts w:ascii="Times New Roman" w:eastAsia="Times New Roman" w:hAnsi="Times New Roman" w:cs="Times New Roman"/>
          <w:vertAlign w:val="superscript"/>
        </w:rPr>
        <w:footnoteReference w:id="29"/>
      </w:r>
      <w:r>
        <w:rPr>
          <w:rFonts w:ascii="Times New Roman" w:eastAsia="Times New Roman" w:hAnsi="Times New Roman" w:cs="Times New Roman"/>
        </w:rPr>
        <w:t xml:space="preserve"> and the Panchayat (Extension to Scheduled Areas) Act (1996) must be scrutinised through a gender lens to assess whether they genuinely empower tribal women or merely reinforce male-centred structures of authority. Education initiatives for tribal areas must include Adivasi women's histories, literature, and ecological wisdom, preparing a new generation of girls to reclaim pride in their past while acquiring skills to access modern systems(</w:t>
      </w:r>
      <w:proofErr w:type="spellStart"/>
      <w:r>
        <w:rPr>
          <w:rFonts w:ascii="Times New Roman" w:eastAsia="Times New Roman" w:hAnsi="Times New Roman" w:cs="Times New Roman"/>
        </w:rPr>
        <w:t>Iseke</w:t>
      </w:r>
      <w:proofErr w:type="spellEnd"/>
      <w:r>
        <w:rPr>
          <w:rFonts w:ascii="Times New Roman" w:eastAsia="Times New Roman" w:hAnsi="Times New Roman" w:cs="Times New Roman"/>
        </w:rPr>
        <w:t>, 2013). It is important to understand Adivasi women's rights over land, resources, and political rights not as concessions of benevolence but as restorative justice for historical and current dispossession. Alternative and digital media outlets also provide new avenues for amplifying Adivasi women's voices. Projects such as Adivasi Women's Collectives</w:t>
      </w:r>
      <w:r>
        <w:rPr>
          <w:rFonts w:ascii="Times New Roman" w:eastAsia="Times New Roman" w:hAnsi="Times New Roman" w:cs="Times New Roman"/>
          <w:vertAlign w:val="superscript"/>
        </w:rPr>
        <w:footnoteReference w:id="30"/>
      </w:r>
      <w:r>
        <w:rPr>
          <w:rFonts w:ascii="Times New Roman" w:eastAsia="Times New Roman" w:hAnsi="Times New Roman" w:cs="Times New Roman"/>
        </w:rPr>
        <w:t>, feminist environmental forums, and tribal women's radio stations can shatter the silence perpetuated by mainstream media and academia. However, these avenues are still limited by infrastructural lack, patriarchal resistance, and cultural erasure. This demands a multi-faceted approach(McCarty et al., 2009): funding rural digital literacy; establishing safe, enabling spaces for women's leadership in tribal movements; and forging alliances between Adivasi feminists with wider feminist and environmental justice movements in India and globally. Significantly, these struggles demonstrate that the emancipation of Adivasi women is not merely an issue of gender justice but also one of ecological sustainability, cultural continuity, and democratic deepening. As keepers of knowledge that supports both human and non-human life, Adivasi women represent a vision of relational, reciprocal, and regenerative living that resists the violent dissolutions of modern capitalist growth. To decolonise tribal studies as much as possible, scholars, activists, and policymakers must respect and learn from these women's struggles not as anecdotal fringes but as key, defining truths for constructing a more equitable and habitable world.</w:t>
      </w:r>
    </w:p>
    <w:p w14:paraId="7F857AC7" w14:textId="77777777" w:rsidR="003934E1" w:rsidRDefault="003934E1">
      <w:pPr>
        <w:spacing w:after="200" w:line="276" w:lineRule="auto"/>
        <w:jc w:val="center"/>
        <w:rPr>
          <w:rFonts w:ascii="Times New Roman" w:eastAsia="Times New Roman" w:hAnsi="Times New Roman" w:cs="Times New Roman"/>
          <w:sz w:val="28"/>
          <w:szCs w:val="28"/>
          <w:u w:val="single"/>
        </w:rPr>
      </w:pPr>
    </w:p>
    <w:p w14:paraId="3EC425C5" w14:textId="77777777" w:rsidR="003934E1" w:rsidRDefault="00000000">
      <w:pPr>
        <w:spacing w:after="200" w:line="276"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Towards a Decolonial Methodology in Tribal Research</w:t>
      </w:r>
    </w:p>
    <w:p w14:paraId="05E9CB9D"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profession of studying tribal society, specifically within the discipline of anthropology and related social sciences, reaches a crossroads of ethics and epistemology. For far too long, tribal studies in India and beyond have been dominated by an extractive model of knowledge production, wherein researchers, development organisations, and state institutions have engaged with tribal peoples as mere "fields" of study, tropical, backwards, or endangered groups to be surveyed, recorded, and translated using the telluric optic of foreign theories and categories(Shen, 2019). This </w:t>
      </w:r>
      <w:proofErr w:type="spellStart"/>
      <w:r>
        <w:rPr>
          <w:rFonts w:ascii="Times New Roman" w:eastAsia="Times New Roman" w:hAnsi="Times New Roman" w:cs="Times New Roman"/>
        </w:rPr>
        <w:t>extractivist</w:t>
      </w:r>
      <w:proofErr w:type="spellEnd"/>
      <w:r>
        <w:rPr>
          <w:rFonts w:ascii="Times New Roman" w:eastAsia="Times New Roman" w:hAnsi="Times New Roman" w:cs="Times New Roman"/>
        </w:rPr>
        <w:t xml:space="preserve"> process is reflective of the economic exploitation of tribal resources and land; just as minerals and forests have been appropriated without permission, so too have social systems, spiritual knowledge, and cultural practices been taken and inserted into scholarly literature, reports, and policies with minimal or no payback to the respective communities. This cognitive colonisation has led to misrepresentation, oversimplification, and the elimination of tribal epistemologies, these peoples' own modes of knowing, describing, and appreciating the world. The requirement of the times is thus a critical reimagining of research paradigms that privileges the agency, consent, and knowledge sovereignty of tribal peoples (Gadgil, 1995). A decolonial research practice necessitates more than incorporating "participatory" methods as a superficial accompaniment; it entails a fundamental transformation of the researcher's subjectivity, intentionality, and relation to the community. Scholars must first scrutinise their positionality, the social, cultural, and institutional site from which they come to the community and the privileges and biases they carry into the research practice. Reflexivity should replace objectivity as the research paradigm (Press). Tribal peoples are not "informants" or "respondents"; they are co-producers of knowledge whose intellectual effort, interpretive perspective, and moral stakes must inform the research at every point from its initiation to its dissemination. This entails engaging the community in each phase: from setting research questions, modes, and instruments to checking interpretations and determining uses of the findings. It also involves recognising and honouring the right of the community to withhold knowledge, specifically sacred, spiritual, or proprietary knowledge, from public release. Research here is no longer an extractive exercise but a relational and reciprocal one for mutual empowerment(Rigney, 1999). New paradigms like Indigenous Methodologies, Feminist Tribal Research</w:t>
      </w:r>
      <w:r>
        <w:rPr>
          <w:rFonts w:ascii="Times New Roman" w:eastAsia="Times New Roman" w:hAnsi="Times New Roman" w:cs="Times New Roman"/>
          <w:vertAlign w:val="superscript"/>
        </w:rPr>
        <w:footnoteReference w:id="31"/>
      </w:r>
      <w:r>
        <w:rPr>
          <w:rFonts w:ascii="Times New Roman" w:eastAsia="Times New Roman" w:hAnsi="Times New Roman" w:cs="Times New Roman"/>
        </w:rPr>
        <w:t>, and Community-Led Action Research</w:t>
      </w:r>
      <w:r>
        <w:rPr>
          <w:rFonts w:ascii="Times New Roman" w:eastAsia="Times New Roman" w:hAnsi="Times New Roman" w:cs="Times New Roman"/>
          <w:vertAlign w:val="superscript"/>
        </w:rPr>
        <w:footnoteReference w:id="32"/>
      </w:r>
      <w:r>
        <w:rPr>
          <w:rFonts w:ascii="Times New Roman" w:eastAsia="Times New Roman" w:hAnsi="Times New Roman" w:cs="Times New Roman"/>
        </w:rPr>
        <w:t xml:space="preserve"> provide practical and ethical approaches to actualise this decolonial vision as elaborated by researchers such as Linda Tuhiwai Smith, Indigenous Methodologies demand that research be done to benefit indigenous peoples, furthering their cultural survival, self-</w:t>
      </w:r>
      <w:r>
        <w:rPr>
          <w:rFonts w:ascii="Times New Roman" w:eastAsia="Times New Roman" w:hAnsi="Times New Roman" w:cs="Times New Roman"/>
        </w:rPr>
        <w:lastRenderedPageBreak/>
        <w:t>determination, and political sovereignty, instead of merely catering to outsider academics' curiosity or career aspirations. In an Indian context, this means planning meaningful and helpful studies to Adivasi communities, whether by writing down threatened languages, charting ancestral lands under threat, recording oral traditions, or helping resistance to land and resource appropriations(Taylor, 2018). Feminist Tribal Research also deepens this strategy by demanding that Adivasi women's voices, experiences, and perspectives be made central, overturning masculine presumptions that all too often influence both tribal administration and scholarly research. Community-Led Action Research takes this a step beyond by putting the community in control of the research process, educating local scholars, youth, and elders to conduct investigations that solve their immediate problems, from forest management to health practices.</w:t>
      </w:r>
    </w:p>
    <w:p w14:paraId="7534FFBA"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To apply such methods, researchers also need to rethink the ownership and sharing of knowledge. Findings, data, and insights cannot be the private property of universities, publishers, or development agencies; they must be given back to the community in forms that are accessible and useful through reports in local languages, community workshops, or media productions that increase local awareness and capacity. This "giving back" is not an act of charity but a moral responsibility that acknowledges the co-authorship of knowledge by the community. In addition, tribal intellectual property rights need to be safeguarded against biopiracy, cultural appropriation, and illicit commercialisation, a new danger in an age where corporations and international markets are accessing Adivasi medicinal knowledge, genetic material, and handicrafts without due compensation or recognition. Notably, decolonial research practices dissolve the fallacy that tribal knowledge systems are objects of study alone, not living, dynamic, and rational systems. Adivasi traditions of cosmology, ecological ethics, and social philosophy provide other ways of comprehending reality, ways to enhance international dialogue about sustainability, democracy, and human rights if met with respect and humility. Tribal concepts of collective land tenure, ecological reciprocity, and interspecies kinship, for instance, offer compelling critiques of capitalist individualism and environmental degradation. However, to acknowledge and appreciate these understandings, researchers must de-centre Western epistemologies and permit tribal thought worlds to speak for themselves. (George, 2014). This could mean embracing performance, ritual, storytelling, and other non-textual knowledge transmissions that do not mesh with academic discourse forms but are no less rigorous or valid. (Kothari, 1998). In this way, decolonial tribal research is not just a matter of "including" tribal epistemologies within dominant academic frameworks; it is a matter of reconfiguring those frameworks to include other modes of knowing, viewing, and valuing the world. This demands institutional shifts in funding, assessment, and research publication, focusing on community-based knowledge production instead of favouring abstraction and theory or ethnographic exoticism. It also urges alliances between civil society movements, progressive academics, and civil society movements to collaborate in co-creating research agendas that promote social and ecological justice(Bohle, 2013). Developing Adivasi youth as researchers, setting up tribal research centres managed by the community, and incorporating indigenous knowledge into school and university curricula are some routes to this future.</w:t>
      </w:r>
    </w:p>
    <w:p w14:paraId="0D437D88" w14:textId="77777777" w:rsidR="003934E1" w:rsidRDefault="003934E1">
      <w:pPr>
        <w:spacing w:after="200" w:line="276" w:lineRule="auto"/>
        <w:jc w:val="both"/>
        <w:rPr>
          <w:rFonts w:ascii="Times New Roman" w:eastAsia="Times New Roman" w:hAnsi="Times New Roman" w:cs="Times New Roman"/>
          <w:sz w:val="30"/>
          <w:szCs w:val="30"/>
        </w:rPr>
      </w:pPr>
    </w:p>
    <w:p w14:paraId="713380BA" w14:textId="77777777" w:rsidR="003934E1" w:rsidRDefault="00000000">
      <w:pPr>
        <w:spacing w:after="200" w:line="276"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lastRenderedPageBreak/>
        <w:t>Policy, Law, and Tribal Self-Determination</w:t>
      </w:r>
    </w:p>
    <w:p w14:paraId="5FDE53DB"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The defence and advancement of tribal rights in India cannot be based exclusively on developmental commitments or benevolent policies defined by the state; it must be rooted irretrievably in a legal and constitutional basis that ensures Adivasi people's autonomy, dignity, and agency. Legally, though, measures concerning tribes have followed a paternalistic orientation, aiming to "uplift" or "assimilate" but not necessarily to empower. This approach fails to appreciate that tribal societies possess sophisticated systems of governance, conflict resolution, and resource management that are not merely functional but deeply intertwined with their cultural identities and ways of life. (Lavoie et al., 2015). Creating the Scheduled Areas through the Fifth and Sixth Schedules of the Constitution was an important early attempt to recognise such distinctiveness. However, their practical implementation on the ground has often remained weak, hampered by bureaucratic tardiness, corruption, and political manipulation. The groundbreaking Scheduled Tribes and Other Traditional Forest Dwellers (Recognition of Forest Rights) Act, 2006</w:t>
      </w:r>
      <w:r>
        <w:rPr>
          <w:rFonts w:ascii="Times New Roman" w:eastAsia="Times New Roman" w:hAnsi="Times New Roman" w:cs="Times New Roman"/>
          <w:vertAlign w:val="superscript"/>
        </w:rPr>
        <w:footnoteReference w:id="33"/>
      </w:r>
      <w:r>
        <w:rPr>
          <w:rFonts w:ascii="Times New Roman" w:eastAsia="Times New Roman" w:hAnsi="Times New Roman" w:cs="Times New Roman"/>
        </w:rPr>
        <w:t>, commonly referred to as the Forest Rights Act (FRA), aimed to undo historical wrongs by legally recognising tribal communities' rights over forests which they had traditionally protected and tended. In principle, the FRA reflects a decolonial jurisprudence. (Simpson, 2014)It recognises pre-existing rights of indigenous peoples over state and corporate claims. It identifies Adivasis as legitimate caretakers of their milieu, not intruders upon 'national' resources.</w:t>
      </w:r>
    </w:p>
    <w:p w14:paraId="6F43F529"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However, the emancipatory potential of the FRA is still not realised, due to institutional lethargy, administrative sabotage, and judicial obfuscation. Throughout India, Gram Sabhas, the village councils through which forest rights claims are supposed to be processed and resolved, are disregarded or disempowered by forest departments, mining companies, and government agencies keen to enter forest lands for commercial use. (Munshi, 2007). In some instances, FRA claims have been rejected arbitrarily, whereas tribal groups set to be evicted have been declared illegal settlers on their ancestral lands. (Kumar, 2012). These betrayals mirror a larger contradiction within Indian tribal policy: as laws such as the FRA assert tribal rights rhetorically, state institutions continue to operate according to the ideology of extraction, centralisation, and enrichment. Genuine tribal self-determination necessitates resolving this contradiction in favour of Adivasi autonomy. Legal systems need to stop treating tribal societies as wards of the state that require protection and instead acknowledge them as political subjects with the right to determine their own destinies. This move from paternalism towards empowerment is not a question of procedural change. However, it requires a fundamental reorientation of the state's relationship with its indigenous citizens, accepting their sovereignty over land, resources, and self-government.(</w:t>
      </w:r>
      <w:proofErr w:type="spellStart"/>
      <w:r>
        <w:rPr>
          <w:rFonts w:ascii="Times New Roman" w:eastAsia="Times New Roman" w:hAnsi="Times New Roman" w:cs="Times New Roman"/>
        </w:rPr>
        <w:t>TallBear</w:t>
      </w:r>
      <w:proofErr w:type="spellEnd"/>
      <w:r>
        <w:rPr>
          <w:rFonts w:ascii="Times New Roman" w:eastAsia="Times New Roman" w:hAnsi="Times New Roman" w:cs="Times New Roman"/>
        </w:rPr>
        <w:t xml:space="preserve">, 2013). A key element of this change is the identification and empowerment of traditional Adivasi institutions of governance, e.g., the Gram Sabha. In most of the tribal areas, these assemblies have been the very heart of village </w:t>
      </w:r>
      <w:r>
        <w:rPr>
          <w:rFonts w:ascii="Times New Roman" w:eastAsia="Times New Roman" w:hAnsi="Times New Roman" w:cs="Times New Roman"/>
        </w:rPr>
        <w:lastRenderedPageBreak/>
        <w:t>democracy, taking decisions together on issues regarding land use, forest management, social justice, and culture. (Mohanty C. T., 2003). The Panchayat (Extension to Scheduled Areas) Act, 1996 (PESA) was a legislative initiative to legalise and empower these age-old institutions in the constitutional context. PESA authorises Gram Sabhas with considerable authority to approve development projects, handle natural resources, and protect cultural traditions(Maldonado-Torres, 2007). However, as with the FRA, poor enforcement has also beleaguered PESA. State governments have mostly not revised their panchayat acts according to PESA's requirements, while corporate interests have kept ignoring Gram Sabha approval in pursuit of mining, industrial, and infrastructure undertakings. The outcome has been a hollowing out of tribal autonomy, in which legal acceptance is compromised by administrative inertia and market forces. For tribal self-determination to materialise as a living reality, Gram Sabhas need legal powers and the material, technical, and educational means to exercise that power effectively. Capacity-building training programs, legal aid access, and transparency in state decision-making are indispensable steps towards that end.</w:t>
      </w:r>
    </w:p>
    <w:p w14:paraId="1D2128B9"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In addition, India's domestic laws need to align more with international human rights norms that enshrine the collective rights of indigenous peoples. The 2007 United Nations Declaration on the Rights of Indigenous Peoples (UNDRIP)</w:t>
      </w:r>
      <w:r>
        <w:rPr>
          <w:rFonts w:ascii="Times New Roman" w:eastAsia="Times New Roman" w:hAnsi="Times New Roman" w:cs="Times New Roman"/>
          <w:vertAlign w:val="superscript"/>
        </w:rPr>
        <w:footnoteReference w:id="34"/>
      </w:r>
      <w:r>
        <w:rPr>
          <w:rFonts w:ascii="Times New Roman" w:eastAsia="Times New Roman" w:hAnsi="Times New Roman" w:cs="Times New Roman"/>
        </w:rPr>
        <w:t xml:space="preserve"> sets the world standard that indigenous peoples have the right of self-determination over their lands, natural resources, cultural heritage, and political institutions. One of the foundational principles of UNDRIP is the need for Free, Prior, and Informed Consent (FPIC)</w:t>
      </w:r>
      <w:r>
        <w:rPr>
          <w:rFonts w:ascii="Times New Roman" w:eastAsia="Times New Roman" w:hAnsi="Times New Roman" w:cs="Times New Roman"/>
          <w:vertAlign w:val="superscript"/>
        </w:rPr>
        <w:footnoteReference w:id="35"/>
      </w:r>
      <w:r>
        <w:rPr>
          <w:rFonts w:ascii="Times New Roman" w:eastAsia="Times New Roman" w:hAnsi="Times New Roman" w:cs="Times New Roman"/>
        </w:rPr>
        <w:t xml:space="preserve"> before any development project or administrative decision that can impact indigenous lands or lives. India has not yet incorporated UNDRIP obligations into domestic law, but these principles serve as a compelling normative standard by which Indian tribal policy must be measured(Eason et al., 2018). In practice, FPIC would entitle Adivasi peoples to the right to refuse projects, mines, dams, and plantations that infringe on their lands, livelihoods, and identities, and such refusal must be binding on the state and corporations. This indigenous consent would be a departure from the extractive development model that has dispossessed millions of Adivasis in post-colonial India, frequently without compensation or rehabilitation. Moreover, Indian policy needs to move beyond legal tokenism in order to actualise the empowerment of tribal communities in deciding their own futures. (Nair, 2006). These involve positive steps such as documenting and recognising community title to lands under the FRA, extending constitutional protection to sacred groves and cultural landscapes, and returning land taken away from Adivasis in the past without their rightful consent.</w:t>
      </w:r>
    </w:p>
    <w:p w14:paraId="1C23FA3B"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 It also needs institutional reforms like establishing autonomous tribal councils vested with legislative, executive, and judiciary powers, particularly in areas where majorities are Adivasi. Examples can be taken from the Sixth Schedule states in the North-East, where such autonomous governance, though flawed, has granted some level of self-governance. At the national level, a specialised Ministry of Tribal Self-Governance, answerable to Adivasi representatives and not the general political class, could be a platform for articulating tribal development visions based on local aspirations and knowledge systems. Ultimately, legal reform can ensure tribal self-determination only if coupled with a larger socio-political movement that resists state domination and corporate power over Adivasi land and life. (Rao U. ,., 2010). The sequence of tribal resistance movements, from the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of Birsa Munda to recent struggles from mining in Odisha and Chhattisgarh, bears testament to the ongoing call of India's tribal people for dignity, recognition, and authority over their own affairs. Policy-makers, jurists, scholars, and civil society members must listen to this call, rendering the dicta of autonomy and consent into enforceable law, strong institutions, and participatory governance.(Grande, 2008). Only then can India's constitutional guarantee of justice, liberty, and equality meaningfully extend to its first peoples not as objects of development but as sovereign participants in their future.</w:t>
      </w:r>
    </w:p>
    <w:p w14:paraId="2B4365AD" w14:textId="77777777" w:rsidR="003934E1" w:rsidRDefault="003934E1">
      <w:pPr>
        <w:spacing w:line="276" w:lineRule="auto"/>
        <w:rPr>
          <w:rFonts w:ascii="Times New Roman" w:eastAsia="Times New Roman" w:hAnsi="Times New Roman" w:cs="Times New Roman"/>
          <w:sz w:val="30"/>
          <w:szCs w:val="30"/>
        </w:rPr>
      </w:pPr>
    </w:p>
    <w:p w14:paraId="53A0792F" w14:textId="77777777" w:rsidR="003934E1" w:rsidRDefault="003934E1">
      <w:pPr>
        <w:spacing w:line="276" w:lineRule="auto"/>
        <w:rPr>
          <w:rFonts w:ascii="Times New Roman" w:eastAsia="Times New Roman" w:hAnsi="Times New Roman" w:cs="Times New Roman"/>
          <w:sz w:val="30"/>
          <w:szCs w:val="30"/>
        </w:rPr>
      </w:pPr>
    </w:p>
    <w:p w14:paraId="4E55EA06" w14:textId="77777777" w:rsidR="003934E1" w:rsidRDefault="003934E1">
      <w:pPr>
        <w:spacing w:line="276" w:lineRule="auto"/>
        <w:rPr>
          <w:rFonts w:ascii="Times New Roman" w:eastAsia="Times New Roman" w:hAnsi="Times New Roman" w:cs="Times New Roman"/>
          <w:sz w:val="30"/>
          <w:szCs w:val="30"/>
        </w:rPr>
      </w:pPr>
    </w:p>
    <w:p w14:paraId="50FFBBE0" w14:textId="77777777" w:rsidR="003934E1" w:rsidRDefault="003934E1">
      <w:pPr>
        <w:spacing w:line="276" w:lineRule="auto"/>
        <w:rPr>
          <w:rFonts w:ascii="Times New Roman" w:eastAsia="Times New Roman" w:hAnsi="Times New Roman" w:cs="Times New Roman"/>
          <w:sz w:val="30"/>
          <w:szCs w:val="30"/>
        </w:rPr>
      </w:pPr>
    </w:p>
    <w:p w14:paraId="7DD75617" w14:textId="77777777" w:rsidR="003934E1" w:rsidRDefault="003934E1">
      <w:pPr>
        <w:spacing w:line="276" w:lineRule="auto"/>
        <w:rPr>
          <w:rFonts w:ascii="Times New Roman" w:eastAsia="Times New Roman" w:hAnsi="Times New Roman" w:cs="Times New Roman"/>
          <w:sz w:val="30"/>
          <w:szCs w:val="30"/>
        </w:rPr>
      </w:pPr>
    </w:p>
    <w:p w14:paraId="490EA8C4" w14:textId="77777777" w:rsidR="003934E1" w:rsidRDefault="00000000">
      <w:pPr>
        <w:spacing w:line="276" w:lineRule="auto"/>
        <w:jc w:val="center"/>
        <w:rPr>
          <w:rFonts w:ascii="Times New Roman" w:eastAsia="Times New Roman" w:hAnsi="Times New Roman" w:cs="Times New Roman"/>
          <w:sz w:val="30"/>
          <w:szCs w:val="30"/>
        </w:rPr>
      </w:pPr>
      <w:r>
        <w:rPr>
          <w:rFonts w:ascii="Times New Roman" w:eastAsia="Times New Roman" w:hAnsi="Times New Roman" w:cs="Times New Roman"/>
          <w:sz w:val="30"/>
          <w:szCs w:val="30"/>
        </w:rPr>
        <w:t>Conclusion</w:t>
      </w:r>
    </w:p>
    <w:p w14:paraId="526D3D25" w14:textId="77777777" w:rsidR="003934E1" w:rsidRDefault="00000000">
      <w:pPr>
        <w:spacing w:line="276"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Rethinking Tribal Studies for Social Justice</w:t>
      </w:r>
    </w:p>
    <w:p w14:paraId="43CF9B65" w14:textId="77777777" w:rsidR="003934E1" w:rsidRDefault="003934E1">
      <w:pPr>
        <w:spacing w:line="276" w:lineRule="auto"/>
        <w:jc w:val="center"/>
        <w:rPr>
          <w:rFonts w:ascii="Times New Roman" w:eastAsia="Times New Roman" w:hAnsi="Times New Roman" w:cs="Times New Roman"/>
          <w:sz w:val="30"/>
          <w:szCs w:val="30"/>
        </w:rPr>
      </w:pPr>
    </w:p>
    <w:p w14:paraId="0E893B33"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 xml:space="preserve">Decolonising tribal studies in the Indian context is more than a theoretical or intellectual exercise; it is an imperative political, ethical, ecological, and epistemic requirement. The historical path of tribal representation, starting from the colonial formation of the 'tribal other' to the paternalistic development policies of the post-colonial state, has inscribed profound and lasting imprints on the perceptions, governance, and engagement of Adivasi communities within the national imagination. In this paper, it has been contended that these tendencies of marginalisation and stereotyping cannot be uprooted by policy changes or development initiatives alone. Rather, what is needed is a revolutionary rethink of the very structures by which tribal identities, ways of knowing, and social ambitions are perceived. Decolonising studies of tribes needs to begin with recognising that tribal societies are not vestiges of a 'pre-modern' past or developmental subjects to be integrated into the mainstream. Instead, they are living repositories of creativity, ecological knowledge, social ethics, and political imagination that have historically defied colonial domination and post-colonial dispossession (Nigam, 1996).  One of the core insights this inquiry discloses is that colonial knowledge systems through anthropology, missionary ethnography, and state documentation produced a vision of the tribal as the primitive other, located outside civilisation, reason, and progress. This building </w:t>
      </w:r>
      <w:r>
        <w:rPr>
          <w:rFonts w:ascii="Times New Roman" w:eastAsia="Times New Roman" w:hAnsi="Times New Roman" w:cs="Times New Roman"/>
        </w:rPr>
        <w:lastRenderedPageBreak/>
        <w:t xml:space="preserve">was not symbolic but a means of statecraft, justifying the takeover of tribal lands, forests, and labour. The colonial state, as described, viewed tribal areas as resource frontiers, not people's and sacred homelands. Sadly, independent India has inherited much of this epistemic luggage. Development paradigms revolving around dams, mining, and industry have dislocated millions of Adivasis, taking away their lands, livelihoods, and cultures. Even if progressive in spirit, legislation like the Forest Rights Act and PESA has fought against the tide of bureaucratic complacency and corporate interests. This finding underscores that decolonising tribal studies must include dismantling colonialism's legal, political, and institutional continuities. Just as important is reclaiming tribal knowledge systems as epistemologically authentic and essential epistemologies in their own right. As demonstrated in the discourse on Indigenous Knowledge Systems, Adivasi cosmologies incorporate holistic relations with land, water, forest, and non-human species (Menon, 2012). These cosmologies are not 'superstitions' or 'folklore' but are ecological ethics of highly pertinent relevance to an ecologically crisis-ridden planet. Tribal farming practices, biodiversity conservation methods, and community-based resource management provide examples of sustainability that destabilise capitalist and industrial development models. A decolonial practice requires these systems to be encountered in co-creative, dialogical terms, not just as information for academic research, but as co-authors for reimagining futures of ecological justice and resilience (Tiplady, 2007). The paper has also highlighted the politics of representation in media, education, and popular discourse. Stereotypes of the tribal as the exotic other, the backwards primitive, or the criminal dangerous continue to inform textbooks, films, news stories, and policy discourses. These images undermine tribal dignity, reinforce exclusion, and deny the richness of Adivasi lives. To turn this around takes an education that goes beyond critical media literacy to creating space for tribal self-representation (Rao, 2008). Tribal authors, filmmakers, journalists, and scholars must be empowered to write their own accounts, in their own languages, and on their own terms. New media present a new horizon for this democratisation of voice, but access, literacy, and infrastructure remain burdens. Decolonisation of tribal studies is therefore not separable from struggles for informational justice and cultural self-expression. One of the most underexplored but essential themes is gender and tribal identity. As explained in the Adivasi women section, tribal women are doubly marginalised both as part of subordinated ethnic groups and as women in a patriarchal context. Development schemes that displace people most frequently affect women hardest, upending their jobs in farming, health care, culture transmission, and community leadership. However, Adivasi women are not passive victims. Resistance movements such as the </w:t>
      </w:r>
      <w:proofErr w:type="spellStart"/>
      <w:r>
        <w:rPr>
          <w:rFonts w:ascii="Times New Roman" w:eastAsia="Times New Roman" w:hAnsi="Times New Roman" w:cs="Times New Roman"/>
        </w:rPr>
        <w:t>Dongria</w:t>
      </w:r>
      <w:proofErr w:type="spellEnd"/>
      <w:r>
        <w:rPr>
          <w:rFonts w:ascii="Times New Roman" w:eastAsia="Times New Roman" w:hAnsi="Times New Roman" w:cs="Times New Roman"/>
        </w:rPr>
        <w:t xml:space="preserve"> Kondh's against mining demonstrate that women are leading ecological defence and cultural survival battles. Any decolonial approach must thus integrate a gender perspective that acknowledges and empowers Adivasi women's voices, experiences, and agency. The legacy of Birsa Munda, as this paper has highlighted, presents a deep epistemic and political counter to colonial and post-colonial governance frameworks. Birsa's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was not simply an anti-British uprising; it was a philosophical, ecological, and spiritual uprising against every type of exploitation and epistemic violence—including those of caste society and exploitative outsiders (</w:t>
      </w:r>
      <w:proofErr w:type="spellStart"/>
      <w:r>
        <w:rPr>
          <w:rFonts w:ascii="Times New Roman" w:eastAsia="Times New Roman" w:hAnsi="Times New Roman" w:cs="Times New Roman"/>
        </w:rPr>
        <w:t>Dikus</w:t>
      </w:r>
      <w:proofErr w:type="spellEnd"/>
      <w:r>
        <w:rPr>
          <w:rFonts w:ascii="Times New Roman" w:eastAsia="Times New Roman" w:hAnsi="Times New Roman" w:cs="Times New Roman"/>
        </w:rPr>
        <w:t xml:space="preserve">). Reclaiming Birsa's vision asks scholars to break away from developmental or anthropological lenses towards an engagement with Adivasi thought as a vibrant source of ethical and political wisdom (Roy, 2017). This involves approaching tribal cosmologies, governance systems, and ecological ethics as feasible </w:t>
      </w:r>
      <w:r>
        <w:rPr>
          <w:rFonts w:ascii="Times New Roman" w:eastAsia="Times New Roman" w:hAnsi="Times New Roman" w:cs="Times New Roman"/>
        </w:rPr>
        <w:lastRenderedPageBreak/>
        <w:t>blueprints for envisioning post-capitalist, post-colonial futures—not cultural curiosities stuck in the past. A radically decolonial approach to tribal research, as outlined in the subsequent parts, would have to depart from the extractive epistemology of dominant social science. Emancipatory, collaborative, and participatory methods of research are necessary. Researchers need to imagine themselves not as data-extractors but as knowledge co-producers with the tribal communities (Mohanty, 2009). This demands reflexivity regarding privilege, openness in research goals, and an obligation to bring material, intellectual, and political benefits back to the studied communities. Indigenous methodologies, feminist tribal research, and community action research are promising avenues for this ethical shift in scholarship. These approaches also support the political agenda of self-determination, aligning research with larger movements for tribal self-governance, land rights, and cultural renaissance. The evolution of tribal policy and law continues to be non-negotiable. Though legislative developments like the Forest Rights Act and PESA are significant steps forward, these have to be implemented fully, strengthened, and protected against reversal. Traditional Gram Sabhas and tribal councils must be acknowledged as authentic governing institutions, not skirted or subverted by state institutions or corporations. International documents like UNDRIP provide frameworks for informed consent and group rights that should be taken on and internalised by Indian law. Above all else, tribal societies need to be acknowledged as sovereign decision-makers over their lands, resources, and development trajectories. Without this essential change in governance, no decolonial endeavour can be complete.</w:t>
      </w:r>
    </w:p>
    <w:p w14:paraId="41B0CE45" w14:textId="77777777" w:rsidR="003934E1" w:rsidRDefault="00000000">
      <w:pPr>
        <w:spacing w:after="200" w:line="276" w:lineRule="auto"/>
        <w:jc w:val="both"/>
        <w:rPr>
          <w:rFonts w:ascii="Times New Roman" w:eastAsia="Times New Roman" w:hAnsi="Times New Roman" w:cs="Times New Roman"/>
        </w:rPr>
      </w:pPr>
      <w:r>
        <w:rPr>
          <w:rFonts w:ascii="Times New Roman" w:eastAsia="Times New Roman" w:hAnsi="Times New Roman" w:cs="Times New Roman"/>
        </w:rPr>
        <w:t>Decolonising tribal studies is an enterprise that cuts across several domains: academic scholarship, state policy, media politics, ecological ethics, and gender justice. It requires a fundamental shift in India's political imagination, in which tribal communities are no longer objects of intervention but subjects of history, producers of knowledge, and designers of alternative futures. The legacy of Birsa Munda makes us remember that such other visions have always been there, opposing domination, building autonomy, and practising sustainable, equitable ways of living. For academics, activists, policy-makers, and citizens who believe in social justice, the challenge is simple: to listen, to learn, to sustain, and to stand in solidarity with India's Adivasi people's decolonial dreams. Then alone is the promise of the Indian Constitution of freedom, equality, and respect for every human being fulfilled in its largest and truest sense.</w:t>
      </w:r>
    </w:p>
    <w:p w14:paraId="36E6167E" w14:textId="77777777" w:rsidR="003934E1" w:rsidRDefault="003934E1">
      <w:pPr>
        <w:spacing w:after="200" w:line="276" w:lineRule="auto"/>
        <w:jc w:val="both"/>
        <w:rPr>
          <w:rFonts w:ascii="Times New Roman" w:eastAsia="Times New Roman" w:hAnsi="Times New Roman" w:cs="Times New Roman"/>
        </w:rPr>
      </w:pPr>
    </w:p>
    <w:p w14:paraId="33F9A90E" w14:textId="77777777" w:rsidR="003934E1" w:rsidRDefault="003934E1">
      <w:pPr>
        <w:spacing w:after="200" w:line="276" w:lineRule="auto"/>
        <w:jc w:val="both"/>
        <w:rPr>
          <w:rFonts w:ascii="Times New Roman" w:eastAsia="Times New Roman" w:hAnsi="Times New Roman" w:cs="Times New Roman"/>
        </w:rPr>
      </w:pPr>
    </w:p>
    <w:p w14:paraId="0BD74A4B" w14:textId="77777777" w:rsidR="003934E1" w:rsidRDefault="003934E1">
      <w:pPr>
        <w:spacing w:after="200" w:line="276" w:lineRule="auto"/>
        <w:jc w:val="both"/>
        <w:rPr>
          <w:rFonts w:ascii="Times New Roman" w:eastAsia="Times New Roman" w:hAnsi="Times New Roman" w:cs="Times New Roman"/>
        </w:rPr>
      </w:pPr>
    </w:p>
    <w:p w14:paraId="5D49C84E" w14:textId="77777777" w:rsidR="003934E1" w:rsidRDefault="003934E1">
      <w:pPr>
        <w:spacing w:after="200" w:line="276" w:lineRule="auto"/>
        <w:jc w:val="both"/>
        <w:rPr>
          <w:rFonts w:ascii="Times New Roman" w:eastAsia="Times New Roman" w:hAnsi="Times New Roman" w:cs="Times New Roman"/>
        </w:rPr>
      </w:pPr>
    </w:p>
    <w:p w14:paraId="729646DA" w14:textId="77777777" w:rsidR="003934E1" w:rsidRDefault="003934E1">
      <w:pPr>
        <w:spacing w:after="200" w:line="276" w:lineRule="auto"/>
        <w:jc w:val="both"/>
        <w:rPr>
          <w:rFonts w:ascii="Times New Roman" w:eastAsia="Times New Roman" w:hAnsi="Times New Roman" w:cs="Times New Roman"/>
        </w:rPr>
      </w:pPr>
    </w:p>
    <w:p w14:paraId="0A291654" w14:textId="77777777" w:rsidR="003934E1" w:rsidRDefault="003934E1">
      <w:pPr>
        <w:spacing w:after="200" w:line="276" w:lineRule="auto"/>
        <w:jc w:val="both"/>
        <w:rPr>
          <w:rFonts w:ascii="Times New Roman" w:eastAsia="Times New Roman" w:hAnsi="Times New Roman" w:cs="Times New Roman"/>
        </w:rPr>
      </w:pPr>
    </w:p>
    <w:p w14:paraId="654A5507" w14:textId="77777777" w:rsidR="003934E1" w:rsidRDefault="003934E1">
      <w:pPr>
        <w:spacing w:after="200" w:line="276" w:lineRule="auto"/>
        <w:jc w:val="both"/>
        <w:rPr>
          <w:rFonts w:ascii="Times New Roman" w:eastAsia="Times New Roman" w:hAnsi="Times New Roman" w:cs="Times New Roman"/>
        </w:rPr>
      </w:pPr>
    </w:p>
    <w:p w14:paraId="6FACD671" w14:textId="77777777" w:rsidR="003934E1" w:rsidRDefault="003934E1">
      <w:pPr>
        <w:spacing w:after="200" w:line="276" w:lineRule="auto"/>
        <w:jc w:val="both"/>
        <w:rPr>
          <w:rFonts w:ascii="Times New Roman" w:eastAsia="Times New Roman" w:hAnsi="Times New Roman" w:cs="Times New Roman"/>
        </w:rPr>
      </w:pPr>
    </w:p>
    <w:p w14:paraId="54AB9247" w14:textId="77777777" w:rsidR="003934E1" w:rsidRDefault="003934E1">
      <w:pPr>
        <w:spacing w:after="200" w:line="276" w:lineRule="auto"/>
        <w:jc w:val="both"/>
        <w:rPr>
          <w:rFonts w:ascii="Times New Roman" w:eastAsia="Times New Roman" w:hAnsi="Times New Roman" w:cs="Times New Roman"/>
        </w:rPr>
      </w:pPr>
    </w:p>
    <w:p w14:paraId="551796EB" w14:textId="77777777" w:rsidR="003934E1" w:rsidRDefault="003934E1">
      <w:pPr>
        <w:spacing w:after="200" w:line="276" w:lineRule="auto"/>
        <w:jc w:val="both"/>
        <w:rPr>
          <w:rFonts w:ascii="Times New Roman" w:eastAsia="Times New Roman" w:hAnsi="Times New Roman" w:cs="Times New Roman"/>
        </w:rPr>
      </w:pPr>
    </w:p>
    <w:p w14:paraId="05058925" w14:textId="77777777" w:rsidR="003934E1" w:rsidRDefault="003934E1">
      <w:pPr>
        <w:spacing w:after="200" w:line="276" w:lineRule="auto"/>
        <w:jc w:val="both"/>
        <w:rPr>
          <w:rFonts w:ascii="Times New Roman" w:eastAsia="Times New Roman" w:hAnsi="Times New Roman" w:cs="Times New Roman"/>
        </w:rPr>
      </w:pPr>
    </w:p>
    <w:p w14:paraId="406B06C4" w14:textId="77777777" w:rsidR="003934E1" w:rsidRDefault="003934E1">
      <w:pPr>
        <w:spacing w:after="200" w:line="276" w:lineRule="auto"/>
        <w:jc w:val="center"/>
        <w:rPr>
          <w:rFonts w:ascii="Times New Roman" w:eastAsia="Times New Roman" w:hAnsi="Times New Roman" w:cs="Times New Roman"/>
          <w:sz w:val="28"/>
          <w:szCs w:val="28"/>
          <w:u w:val="single"/>
        </w:rPr>
      </w:pPr>
    </w:p>
    <w:p w14:paraId="64EF5B20" w14:textId="77777777" w:rsidR="003934E1" w:rsidRDefault="003934E1">
      <w:pPr>
        <w:spacing w:after="200" w:line="276" w:lineRule="auto"/>
        <w:jc w:val="center"/>
        <w:rPr>
          <w:rFonts w:ascii="Times New Roman" w:eastAsia="Times New Roman" w:hAnsi="Times New Roman" w:cs="Times New Roman"/>
          <w:sz w:val="28"/>
          <w:szCs w:val="28"/>
          <w:u w:val="single"/>
        </w:rPr>
      </w:pPr>
    </w:p>
    <w:p w14:paraId="4D87D73B" w14:textId="77777777" w:rsidR="003934E1" w:rsidRDefault="003934E1">
      <w:pPr>
        <w:spacing w:after="200" w:line="276" w:lineRule="auto"/>
        <w:jc w:val="center"/>
        <w:rPr>
          <w:rFonts w:ascii="Times New Roman" w:eastAsia="Times New Roman" w:hAnsi="Times New Roman" w:cs="Times New Roman"/>
          <w:sz w:val="28"/>
          <w:szCs w:val="28"/>
          <w:u w:val="single"/>
        </w:rPr>
      </w:pPr>
    </w:p>
    <w:p w14:paraId="6F58CEE4" w14:textId="77777777" w:rsidR="003934E1" w:rsidRDefault="003934E1">
      <w:pPr>
        <w:spacing w:after="200" w:line="276" w:lineRule="auto"/>
        <w:jc w:val="center"/>
        <w:rPr>
          <w:rFonts w:ascii="Times New Roman" w:eastAsia="Times New Roman" w:hAnsi="Times New Roman" w:cs="Times New Roman"/>
          <w:sz w:val="28"/>
          <w:szCs w:val="28"/>
          <w:u w:val="single"/>
        </w:rPr>
      </w:pPr>
    </w:p>
    <w:p w14:paraId="3D060693" w14:textId="77777777" w:rsidR="003934E1" w:rsidRDefault="003934E1">
      <w:pPr>
        <w:spacing w:after="200" w:line="276" w:lineRule="auto"/>
        <w:jc w:val="center"/>
        <w:rPr>
          <w:rFonts w:ascii="Times New Roman" w:eastAsia="Times New Roman" w:hAnsi="Times New Roman" w:cs="Times New Roman"/>
          <w:sz w:val="28"/>
          <w:szCs w:val="28"/>
          <w:u w:val="single"/>
        </w:rPr>
      </w:pPr>
    </w:p>
    <w:p w14:paraId="2B371816" w14:textId="77777777" w:rsidR="003934E1" w:rsidRDefault="003934E1">
      <w:pPr>
        <w:spacing w:after="200" w:line="276" w:lineRule="auto"/>
        <w:jc w:val="center"/>
        <w:rPr>
          <w:rFonts w:ascii="Times New Roman" w:eastAsia="Times New Roman" w:hAnsi="Times New Roman" w:cs="Times New Roman"/>
          <w:sz w:val="28"/>
          <w:szCs w:val="28"/>
          <w:u w:val="single"/>
        </w:rPr>
      </w:pPr>
    </w:p>
    <w:p w14:paraId="7BA3BFEE" w14:textId="77777777" w:rsidR="003934E1" w:rsidRDefault="00000000">
      <w:pPr>
        <w:spacing w:after="200" w:line="276" w:lineRule="auto"/>
        <w:jc w:val="center"/>
        <w:rPr>
          <w:rFonts w:ascii="Times New Roman" w:eastAsia="Times New Roman" w:hAnsi="Times New Roman" w:cs="Times New Roman"/>
          <w:sz w:val="28"/>
          <w:szCs w:val="28"/>
          <w:u w:val="single"/>
        </w:rPr>
      </w:pPr>
      <w:r>
        <w:rPr>
          <w:rFonts w:ascii="Times New Roman" w:eastAsia="Times New Roman" w:hAnsi="Times New Roman" w:cs="Times New Roman"/>
          <w:sz w:val="28"/>
          <w:szCs w:val="28"/>
          <w:u w:val="single"/>
        </w:rPr>
        <w:t>References</w:t>
      </w:r>
    </w:p>
    <w:p w14:paraId="540719A7"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Ahmed, B. (2024). Decolonising Policy Research as Restorative Justice: Applying an Indigenous Policy Research Framework (IPRF). </w:t>
      </w:r>
      <w:r>
        <w:rPr>
          <w:rFonts w:ascii="Times New Roman" w:eastAsia="Times New Roman" w:hAnsi="Times New Roman" w:cs="Times New Roman"/>
          <w:i/>
        </w:rPr>
        <w:t>Critical Policy Studies</w:t>
      </w:r>
      <w:r>
        <w:rPr>
          <w:rFonts w:ascii="Times New Roman" w:eastAsia="Times New Roman" w:hAnsi="Times New Roman" w:cs="Times New Roman"/>
        </w:rPr>
        <w:t xml:space="preserve">, </w:t>
      </w:r>
      <w:r>
        <w:rPr>
          <w:rFonts w:ascii="Times New Roman" w:eastAsia="Times New Roman" w:hAnsi="Times New Roman" w:cs="Times New Roman"/>
          <w:i/>
        </w:rPr>
        <w:t>18</w:t>
      </w:r>
      <w:r>
        <w:rPr>
          <w:rFonts w:ascii="Times New Roman" w:eastAsia="Times New Roman" w:hAnsi="Times New Roman" w:cs="Times New Roman"/>
        </w:rPr>
        <w:t>(2), 271–298. https://doi.org/10.1080/19460171.2022.2158481</w:t>
      </w:r>
    </w:p>
    <w:p w14:paraId="2F6FEFD0"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Alfred, T., &amp; Corntassel, J. (2005). Being Indigenous: Resurgences against Contemporary Colonialism. </w:t>
      </w:r>
      <w:r>
        <w:rPr>
          <w:rFonts w:ascii="Times New Roman" w:eastAsia="Times New Roman" w:hAnsi="Times New Roman" w:cs="Times New Roman"/>
          <w:i/>
        </w:rPr>
        <w:t>Government and Opposition</w:t>
      </w:r>
      <w:r>
        <w:rPr>
          <w:rFonts w:ascii="Times New Roman" w:eastAsia="Times New Roman" w:hAnsi="Times New Roman" w:cs="Times New Roman"/>
        </w:rPr>
        <w:t xml:space="preserve">, </w:t>
      </w:r>
      <w:r>
        <w:rPr>
          <w:rFonts w:ascii="Times New Roman" w:eastAsia="Times New Roman" w:hAnsi="Times New Roman" w:cs="Times New Roman"/>
          <w:i/>
        </w:rPr>
        <w:t>40</w:t>
      </w:r>
      <w:r>
        <w:rPr>
          <w:rFonts w:ascii="Times New Roman" w:eastAsia="Times New Roman" w:hAnsi="Times New Roman" w:cs="Times New Roman"/>
        </w:rPr>
        <w:t>(4), 597–614. https://doi.org/10.1111/j.1477-7053.2005.00166.x</w:t>
      </w:r>
    </w:p>
    <w:p w14:paraId="744FD7B9"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Andersen, C. (1970). Critical Indigenous Studies: From Difference to Density. </w:t>
      </w:r>
      <w:r>
        <w:rPr>
          <w:rFonts w:ascii="Times New Roman" w:eastAsia="Times New Roman" w:hAnsi="Times New Roman" w:cs="Times New Roman"/>
          <w:i/>
        </w:rPr>
        <w:t>Cultural Studies Review</w:t>
      </w:r>
      <w:r>
        <w:rPr>
          <w:rFonts w:ascii="Times New Roman" w:eastAsia="Times New Roman" w:hAnsi="Times New Roman" w:cs="Times New Roman"/>
        </w:rPr>
        <w:t xml:space="preserve">, </w:t>
      </w:r>
      <w:r>
        <w:rPr>
          <w:rFonts w:ascii="Times New Roman" w:eastAsia="Times New Roman" w:hAnsi="Times New Roman" w:cs="Times New Roman"/>
          <w:i/>
        </w:rPr>
        <w:t>15</w:t>
      </w:r>
      <w:r>
        <w:rPr>
          <w:rFonts w:ascii="Times New Roman" w:eastAsia="Times New Roman" w:hAnsi="Times New Roman" w:cs="Times New Roman"/>
        </w:rPr>
        <w:t>(2). https://doi.org/10.5130/csr.v15i2.2039</w:t>
      </w:r>
    </w:p>
    <w:p w14:paraId="3613DA41"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Barker, J. (2008). Gender, Sovereignty, Rights: Native Women’s Activism against Social Inequality and Violence in Canada. </w:t>
      </w:r>
      <w:r>
        <w:rPr>
          <w:rFonts w:ascii="Times New Roman" w:eastAsia="Times New Roman" w:hAnsi="Times New Roman" w:cs="Times New Roman"/>
          <w:i/>
        </w:rPr>
        <w:t>American Quarterly</w:t>
      </w:r>
      <w:r>
        <w:rPr>
          <w:rFonts w:ascii="Times New Roman" w:eastAsia="Times New Roman" w:hAnsi="Times New Roman" w:cs="Times New Roman"/>
        </w:rPr>
        <w:t xml:space="preserve">, </w:t>
      </w:r>
      <w:r>
        <w:rPr>
          <w:rFonts w:ascii="Times New Roman" w:eastAsia="Times New Roman" w:hAnsi="Times New Roman" w:cs="Times New Roman"/>
          <w:i/>
        </w:rPr>
        <w:t>60</w:t>
      </w:r>
      <w:r>
        <w:rPr>
          <w:rFonts w:ascii="Times New Roman" w:eastAsia="Times New Roman" w:hAnsi="Times New Roman" w:cs="Times New Roman"/>
        </w:rPr>
        <w:t>(2), 259–266. https://doi.org/10.1353/aq.0.0002</w:t>
      </w:r>
    </w:p>
    <w:p w14:paraId="32A8C7CE"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Bohle, S. (2013). </w:t>
      </w:r>
      <w:r>
        <w:rPr>
          <w:rFonts w:ascii="Times New Roman" w:eastAsia="Times New Roman" w:hAnsi="Times New Roman" w:cs="Times New Roman"/>
          <w:i/>
        </w:rPr>
        <w:t>Making Space for Families: Municipal Policy Options to Create High-Density Housing for Families with Children</w:t>
      </w:r>
      <w:r>
        <w:rPr>
          <w:rFonts w:ascii="Times New Roman" w:eastAsia="Times New Roman" w:hAnsi="Times New Roman" w:cs="Times New Roman"/>
        </w:rPr>
        <w:t>. https://doi.org/10.14288/1.0075785</w:t>
      </w:r>
    </w:p>
    <w:p w14:paraId="1005FBA9"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Cain, T. (2013). Decolonising Methodologies: Research and Indigenous Peoples, 2nd Edition by Linda </w:t>
      </w:r>
      <w:proofErr w:type="spellStart"/>
      <w:r>
        <w:rPr>
          <w:rFonts w:ascii="Times New Roman" w:eastAsia="Times New Roman" w:hAnsi="Times New Roman" w:cs="Times New Roman"/>
        </w:rPr>
        <w:t>TuhiwaiSmith</w:t>
      </w:r>
      <w:proofErr w:type="spellEnd"/>
      <w:r>
        <w:rPr>
          <w:rFonts w:ascii="Times New Roman" w:eastAsia="Times New Roman" w:hAnsi="Times New Roman" w:cs="Times New Roman"/>
        </w:rPr>
        <w:t xml:space="preserve">. London and New York: Zed Books, 2012. 240 pp. </w:t>
      </w:r>
      <w:r>
        <w:rPr>
          <w:rFonts w:ascii="Times New Roman" w:eastAsia="Times New Roman" w:hAnsi="Times New Roman" w:cs="Times New Roman"/>
          <w:i/>
        </w:rPr>
        <w:t>Anthropology &amp; Education Quarterly</w:t>
      </w:r>
      <w:r>
        <w:rPr>
          <w:rFonts w:ascii="Times New Roman" w:eastAsia="Times New Roman" w:hAnsi="Times New Roman" w:cs="Times New Roman"/>
        </w:rPr>
        <w:t xml:space="preserve">, </w:t>
      </w:r>
      <w:r>
        <w:rPr>
          <w:rFonts w:ascii="Times New Roman" w:eastAsia="Times New Roman" w:hAnsi="Times New Roman" w:cs="Times New Roman"/>
          <w:i/>
        </w:rPr>
        <w:t>44</w:t>
      </w:r>
      <w:r>
        <w:rPr>
          <w:rFonts w:ascii="Times New Roman" w:eastAsia="Times New Roman" w:hAnsi="Times New Roman" w:cs="Times New Roman"/>
        </w:rPr>
        <w:t>(4), 443–445. https://doi.org/10.1111/aeq.12032</w:t>
      </w:r>
    </w:p>
    <w:p w14:paraId="5094435B"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Carucci, L. M. (2004). Bravo for the Marshallese: Regaining Control in a Post-Nuclear, Post-Colonial World (review). </w:t>
      </w:r>
      <w:r>
        <w:rPr>
          <w:rFonts w:ascii="Times New Roman" w:eastAsia="Times New Roman" w:hAnsi="Times New Roman" w:cs="Times New Roman"/>
          <w:i/>
        </w:rPr>
        <w:t>The Contemporary Pacific</w:t>
      </w:r>
      <w:r>
        <w:rPr>
          <w:rFonts w:ascii="Times New Roman" w:eastAsia="Times New Roman" w:hAnsi="Times New Roman" w:cs="Times New Roman"/>
        </w:rPr>
        <w:t xml:space="preserve">, </w:t>
      </w:r>
      <w:r>
        <w:rPr>
          <w:rFonts w:ascii="Times New Roman" w:eastAsia="Times New Roman" w:hAnsi="Times New Roman" w:cs="Times New Roman"/>
          <w:i/>
        </w:rPr>
        <w:t>16</w:t>
      </w:r>
      <w:r>
        <w:rPr>
          <w:rFonts w:ascii="Times New Roman" w:eastAsia="Times New Roman" w:hAnsi="Times New Roman" w:cs="Times New Roman"/>
        </w:rPr>
        <w:t>(2), 445–449. https://doi.org/10.1353/cp.2004.0039</w:t>
      </w:r>
    </w:p>
    <w:p w14:paraId="62E8E667"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Casey, M. (2009). Disturbing Performances of Race and Nation: King Bungaree, John Noble and Jimmy Clements. </w:t>
      </w:r>
      <w:r>
        <w:rPr>
          <w:rFonts w:ascii="Times New Roman" w:eastAsia="Times New Roman" w:hAnsi="Times New Roman" w:cs="Times New Roman"/>
          <w:i/>
        </w:rPr>
        <w:t>International Journal of Critical Indigenous Studies</w:t>
      </w:r>
      <w:r>
        <w:rPr>
          <w:rFonts w:ascii="Times New Roman" w:eastAsia="Times New Roman" w:hAnsi="Times New Roman" w:cs="Times New Roman"/>
        </w:rPr>
        <w:t xml:space="preserve">, </w:t>
      </w:r>
      <w:r>
        <w:rPr>
          <w:rFonts w:ascii="Times New Roman" w:eastAsia="Times New Roman" w:hAnsi="Times New Roman" w:cs="Times New Roman"/>
          <w:i/>
        </w:rPr>
        <w:t>2</w:t>
      </w:r>
      <w:r>
        <w:rPr>
          <w:rFonts w:ascii="Times New Roman" w:eastAsia="Times New Roman" w:hAnsi="Times New Roman" w:cs="Times New Roman"/>
        </w:rPr>
        <w:t>(2), 25–35. https://doi.org/10.5204/ijcis.v2i2.28</w:t>
      </w:r>
    </w:p>
    <w:p w14:paraId="1BDBF049"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lastRenderedPageBreak/>
        <w:t xml:space="preserve">Coulthard, G. S. (2007). Subjects of Empire: Indigenous Peoples and the ‘Politics of Recognition’ in Canada. </w:t>
      </w:r>
      <w:r>
        <w:rPr>
          <w:rFonts w:ascii="Times New Roman" w:eastAsia="Times New Roman" w:hAnsi="Times New Roman" w:cs="Times New Roman"/>
          <w:i/>
        </w:rPr>
        <w:t>Contemporary Political Theory</w:t>
      </w:r>
      <w:r>
        <w:rPr>
          <w:rFonts w:ascii="Times New Roman" w:eastAsia="Times New Roman" w:hAnsi="Times New Roman" w:cs="Times New Roman"/>
        </w:rPr>
        <w:t xml:space="preserve">, </w:t>
      </w:r>
      <w:r>
        <w:rPr>
          <w:rFonts w:ascii="Times New Roman" w:eastAsia="Times New Roman" w:hAnsi="Times New Roman" w:cs="Times New Roman"/>
          <w:i/>
        </w:rPr>
        <w:t>6</w:t>
      </w:r>
      <w:r>
        <w:rPr>
          <w:rFonts w:ascii="Times New Roman" w:eastAsia="Times New Roman" w:hAnsi="Times New Roman" w:cs="Times New Roman"/>
        </w:rPr>
        <w:t>(4), 437–460. https://doi.org/10.1057/palgrave.cpt.9300307</w:t>
      </w:r>
    </w:p>
    <w:p w14:paraId="5F9DE574"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Coulthard, G. S., &amp; Alfred, T. (2014). </w:t>
      </w:r>
      <w:r>
        <w:rPr>
          <w:rFonts w:ascii="Times New Roman" w:eastAsia="Times New Roman" w:hAnsi="Times New Roman" w:cs="Times New Roman"/>
          <w:i/>
        </w:rPr>
        <w:t>Red Skin, White Masks: Rejecting the Colonial Politics of Recognition</w:t>
      </w:r>
      <w:r>
        <w:rPr>
          <w:rFonts w:ascii="Times New Roman" w:eastAsia="Times New Roman" w:hAnsi="Times New Roman" w:cs="Times New Roman"/>
        </w:rPr>
        <w:t>. University of Minnesota Press. https://doi.org/10.5749/minnesota/9780816679645.001.0001</w:t>
      </w:r>
    </w:p>
    <w:p w14:paraId="4778712D"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Denzin, N., Lincoln, Y., &amp; Smith, L. (2008). </w:t>
      </w:r>
      <w:r>
        <w:rPr>
          <w:rFonts w:ascii="Times New Roman" w:eastAsia="Times New Roman" w:hAnsi="Times New Roman" w:cs="Times New Roman"/>
          <w:i/>
        </w:rPr>
        <w:t>Handbook of Critical and Indigenous Methodologies</w:t>
      </w:r>
      <w:r>
        <w:rPr>
          <w:rFonts w:ascii="Times New Roman" w:eastAsia="Times New Roman" w:hAnsi="Times New Roman" w:cs="Times New Roman"/>
        </w:rPr>
        <w:t>. SAGE Publications, Inc. https://doi.org/10.4135/9781483385686</w:t>
      </w:r>
    </w:p>
    <w:p w14:paraId="729AA39C"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Eason, A. E., Brady, L. M., &amp; Fryberg, S. A. (2018). Reclaiming Representations &amp; Interrupting the Cycle of Bias Against Native Americans. </w:t>
      </w:r>
      <w:r>
        <w:rPr>
          <w:rFonts w:ascii="Times New Roman" w:eastAsia="Times New Roman" w:hAnsi="Times New Roman" w:cs="Times New Roman"/>
          <w:i/>
        </w:rPr>
        <w:t>Daedalus</w:t>
      </w:r>
      <w:r>
        <w:rPr>
          <w:rFonts w:ascii="Times New Roman" w:eastAsia="Times New Roman" w:hAnsi="Times New Roman" w:cs="Times New Roman"/>
        </w:rPr>
        <w:t xml:space="preserve">, </w:t>
      </w:r>
      <w:r>
        <w:rPr>
          <w:rFonts w:ascii="Times New Roman" w:eastAsia="Times New Roman" w:hAnsi="Times New Roman" w:cs="Times New Roman"/>
          <w:i/>
        </w:rPr>
        <w:t>147</w:t>
      </w:r>
      <w:r>
        <w:rPr>
          <w:rFonts w:ascii="Times New Roman" w:eastAsia="Times New Roman" w:hAnsi="Times New Roman" w:cs="Times New Roman"/>
        </w:rPr>
        <w:t>(2), 70–81. https://doi.org/10.1162/DAED_a_00491</w:t>
      </w:r>
    </w:p>
    <w:p w14:paraId="318396D4"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Fournier, C., Stewart, S., Adams, J., Shirt, C., &amp; Mahabir, E. (2023). Systemic disruptions: Decolonising indigenous research ethics using indigenous knowledges. </w:t>
      </w:r>
      <w:r>
        <w:rPr>
          <w:rFonts w:ascii="Times New Roman" w:eastAsia="Times New Roman" w:hAnsi="Times New Roman" w:cs="Times New Roman"/>
          <w:i/>
        </w:rPr>
        <w:t>Research Ethics</w:t>
      </w:r>
      <w:r>
        <w:rPr>
          <w:rFonts w:ascii="Times New Roman" w:eastAsia="Times New Roman" w:hAnsi="Times New Roman" w:cs="Times New Roman"/>
        </w:rPr>
        <w:t xml:space="preserve">, </w:t>
      </w:r>
      <w:r>
        <w:rPr>
          <w:rFonts w:ascii="Times New Roman" w:eastAsia="Times New Roman" w:hAnsi="Times New Roman" w:cs="Times New Roman"/>
          <w:i/>
        </w:rPr>
        <w:t>19</w:t>
      </w:r>
      <w:r>
        <w:rPr>
          <w:rFonts w:ascii="Times New Roman" w:eastAsia="Times New Roman" w:hAnsi="Times New Roman" w:cs="Times New Roman"/>
        </w:rPr>
        <w:t>(3), 325–340. https://doi.org/10.1177/17470161231169205</w:t>
      </w:r>
    </w:p>
    <w:p w14:paraId="203DFFEF"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Gaudry, A., &amp; Lorenz, D. (2018). Indigenisation as inclusion, reconciliation, and decolonisation: Navigating the different visions for indigenizing the Canadian Academy. </w:t>
      </w:r>
      <w:proofErr w:type="spellStart"/>
      <w:r>
        <w:rPr>
          <w:rFonts w:ascii="Times New Roman" w:eastAsia="Times New Roman" w:hAnsi="Times New Roman" w:cs="Times New Roman"/>
          <w:i/>
        </w:rPr>
        <w:t>AlterNative</w:t>
      </w:r>
      <w:proofErr w:type="spellEnd"/>
      <w:r>
        <w:rPr>
          <w:rFonts w:ascii="Times New Roman" w:eastAsia="Times New Roman" w:hAnsi="Times New Roman" w:cs="Times New Roman"/>
          <w:i/>
        </w:rPr>
        <w:t>: An International Journal of Indigenous Peoples</w:t>
      </w:r>
      <w:r>
        <w:rPr>
          <w:rFonts w:ascii="Times New Roman" w:eastAsia="Times New Roman" w:hAnsi="Times New Roman" w:cs="Times New Roman"/>
        </w:rPr>
        <w:t xml:space="preserve">, </w:t>
      </w:r>
      <w:r>
        <w:rPr>
          <w:rFonts w:ascii="Times New Roman" w:eastAsia="Times New Roman" w:hAnsi="Times New Roman" w:cs="Times New Roman"/>
          <w:i/>
        </w:rPr>
        <w:t>14</w:t>
      </w:r>
      <w:r>
        <w:rPr>
          <w:rFonts w:ascii="Times New Roman" w:eastAsia="Times New Roman" w:hAnsi="Times New Roman" w:cs="Times New Roman"/>
        </w:rPr>
        <w:t>(3), 218–227. https://doi.org/10.1177/1177180118785382</w:t>
      </w:r>
    </w:p>
    <w:p w14:paraId="05904127"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Gilio-Whitaker, D. (2024). Indigeneity, Nationhood, Racialization, and the U.S. Settler State: Why Political Status Matters to Native ‘Identity’ Formation. </w:t>
      </w:r>
      <w:r>
        <w:rPr>
          <w:rFonts w:ascii="Times New Roman" w:eastAsia="Times New Roman" w:hAnsi="Times New Roman" w:cs="Times New Roman"/>
          <w:i/>
        </w:rPr>
        <w:t>Genealogy</w:t>
      </w:r>
      <w:r>
        <w:rPr>
          <w:rFonts w:ascii="Times New Roman" w:eastAsia="Times New Roman" w:hAnsi="Times New Roman" w:cs="Times New Roman"/>
        </w:rPr>
        <w:t xml:space="preserve">, </w:t>
      </w:r>
      <w:r>
        <w:rPr>
          <w:rFonts w:ascii="Times New Roman" w:eastAsia="Times New Roman" w:hAnsi="Times New Roman" w:cs="Times New Roman"/>
          <w:i/>
        </w:rPr>
        <w:t>8</w:t>
      </w:r>
      <w:r>
        <w:rPr>
          <w:rFonts w:ascii="Times New Roman" w:eastAsia="Times New Roman" w:hAnsi="Times New Roman" w:cs="Times New Roman"/>
        </w:rPr>
        <w:t>(3), 116. https://doi.org/10.3390/genealogy8030116</w:t>
      </w:r>
    </w:p>
    <w:p w14:paraId="0A203A08"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Grande, S. (2008). Red Pedagogy: The Un-Methodology. In N. Denzin, Y. Lincoln, &amp; L. Smith, </w:t>
      </w:r>
      <w:r>
        <w:rPr>
          <w:rFonts w:ascii="Times New Roman" w:eastAsia="Times New Roman" w:hAnsi="Times New Roman" w:cs="Times New Roman"/>
          <w:i/>
        </w:rPr>
        <w:t>Handbook of Critical and Indigenous Methodologies</w:t>
      </w:r>
      <w:r>
        <w:rPr>
          <w:rFonts w:ascii="Times New Roman" w:eastAsia="Times New Roman" w:hAnsi="Times New Roman" w:cs="Times New Roman"/>
        </w:rPr>
        <w:t xml:space="preserve"> (pp. 233–254). SAGE Publications, Inc. https://doi.org/10.4135/9781483385686.n12</w:t>
      </w:r>
    </w:p>
    <w:p w14:paraId="115EF59D"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Hugon, P. (2000). Growth, Crisis, and Recovery in East Asia. </w:t>
      </w:r>
      <w:r>
        <w:rPr>
          <w:rFonts w:ascii="Times New Roman" w:eastAsia="Times New Roman" w:hAnsi="Times New Roman" w:cs="Times New Roman"/>
          <w:i/>
        </w:rPr>
        <w:t>International Social Science Journal</w:t>
      </w:r>
      <w:r>
        <w:rPr>
          <w:rFonts w:ascii="Times New Roman" w:eastAsia="Times New Roman" w:hAnsi="Times New Roman" w:cs="Times New Roman"/>
        </w:rPr>
        <w:t xml:space="preserve">, </w:t>
      </w:r>
      <w:r>
        <w:rPr>
          <w:rFonts w:ascii="Times New Roman" w:eastAsia="Times New Roman" w:hAnsi="Times New Roman" w:cs="Times New Roman"/>
          <w:i/>
        </w:rPr>
        <w:t>52</w:t>
      </w:r>
      <w:r>
        <w:rPr>
          <w:rFonts w:ascii="Times New Roman" w:eastAsia="Times New Roman" w:hAnsi="Times New Roman" w:cs="Times New Roman"/>
        </w:rPr>
        <w:t>(166), 493–503. https://doi.org/10.1111/1468-2451.00279</w:t>
      </w:r>
    </w:p>
    <w:p w14:paraId="03013E10" w14:textId="77777777" w:rsidR="003934E1" w:rsidRDefault="00000000">
      <w:pPr>
        <w:spacing w:line="276" w:lineRule="auto"/>
        <w:ind w:left="720"/>
        <w:rPr>
          <w:rFonts w:ascii="Times New Roman" w:eastAsia="Times New Roman" w:hAnsi="Times New Roman" w:cs="Times New Roman"/>
        </w:rPr>
      </w:pPr>
      <w:proofErr w:type="spellStart"/>
      <w:r>
        <w:rPr>
          <w:rFonts w:ascii="Times New Roman" w:eastAsia="Times New Roman" w:hAnsi="Times New Roman" w:cs="Times New Roman"/>
        </w:rPr>
        <w:t>Iseke</w:t>
      </w:r>
      <w:proofErr w:type="spellEnd"/>
      <w:r>
        <w:rPr>
          <w:rFonts w:ascii="Times New Roman" w:eastAsia="Times New Roman" w:hAnsi="Times New Roman" w:cs="Times New Roman"/>
        </w:rPr>
        <w:t xml:space="preserve">, J. (2013). Indigenous Storytelling as Research. </w:t>
      </w:r>
      <w:r>
        <w:rPr>
          <w:rFonts w:ascii="Times New Roman" w:eastAsia="Times New Roman" w:hAnsi="Times New Roman" w:cs="Times New Roman"/>
          <w:i/>
        </w:rPr>
        <w:t>International Review of Qualitative Research</w:t>
      </w:r>
      <w:r>
        <w:rPr>
          <w:rFonts w:ascii="Times New Roman" w:eastAsia="Times New Roman" w:hAnsi="Times New Roman" w:cs="Times New Roman"/>
        </w:rPr>
        <w:t xml:space="preserve">, </w:t>
      </w:r>
      <w:r>
        <w:rPr>
          <w:rFonts w:ascii="Times New Roman" w:eastAsia="Times New Roman" w:hAnsi="Times New Roman" w:cs="Times New Roman"/>
          <w:i/>
        </w:rPr>
        <w:t>6</w:t>
      </w:r>
      <w:r>
        <w:rPr>
          <w:rFonts w:ascii="Times New Roman" w:eastAsia="Times New Roman" w:hAnsi="Times New Roman" w:cs="Times New Roman"/>
        </w:rPr>
        <w:t>(4), 559–577. https://doi.org/10.1525/irqr.2013.6.4.559</w:t>
      </w:r>
    </w:p>
    <w:p w14:paraId="61B69DDD"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Jacobs, B. (2019). Indigenous identity: Summary and future directions. </w:t>
      </w:r>
      <w:r>
        <w:rPr>
          <w:rFonts w:ascii="Times New Roman" w:eastAsia="Times New Roman" w:hAnsi="Times New Roman" w:cs="Times New Roman"/>
          <w:i/>
        </w:rPr>
        <w:t>Statistical Journal of the IAOS</w:t>
      </w:r>
      <w:r>
        <w:rPr>
          <w:rFonts w:ascii="Times New Roman" w:eastAsia="Times New Roman" w:hAnsi="Times New Roman" w:cs="Times New Roman"/>
        </w:rPr>
        <w:t xml:space="preserve">, </w:t>
      </w:r>
      <w:r>
        <w:rPr>
          <w:rFonts w:ascii="Times New Roman" w:eastAsia="Times New Roman" w:hAnsi="Times New Roman" w:cs="Times New Roman"/>
          <w:i/>
        </w:rPr>
        <w:t>35</w:t>
      </w:r>
      <w:r>
        <w:rPr>
          <w:rFonts w:ascii="Times New Roman" w:eastAsia="Times New Roman" w:hAnsi="Times New Roman" w:cs="Times New Roman"/>
        </w:rPr>
        <w:t>(1), 147–157. https://doi.org/10.3233/SJI-190496</w:t>
      </w:r>
    </w:p>
    <w:p w14:paraId="35D30E04"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Jacobs, M. R. (2022). The Role of Living Traditions in Decolonising Indigenous Gender in an Urban Environment</w:t>
      </w:r>
      <w:r>
        <w:rPr>
          <w:rFonts w:ascii="Times New Roman" w:eastAsia="Times New Roman" w:hAnsi="Times New Roman" w:cs="Times New Roman"/>
          <w:vertAlign w:val="superscript"/>
        </w:rPr>
        <w:t>1</w:t>
      </w:r>
      <w:r>
        <w:rPr>
          <w:rFonts w:ascii="Times New Roman" w:eastAsia="Times New Roman" w:hAnsi="Times New Roman" w:cs="Times New Roman"/>
        </w:rPr>
        <w:t xml:space="preserve">. </w:t>
      </w:r>
      <w:r>
        <w:rPr>
          <w:rFonts w:ascii="Times New Roman" w:eastAsia="Times New Roman" w:hAnsi="Times New Roman" w:cs="Times New Roman"/>
          <w:i/>
        </w:rPr>
        <w:t>Sociological Forum</w:t>
      </w:r>
      <w:r>
        <w:rPr>
          <w:rFonts w:ascii="Times New Roman" w:eastAsia="Times New Roman" w:hAnsi="Times New Roman" w:cs="Times New Roman"/>
        </w:rPr>
        <w:t xml:space="preserve">, </w:t>
      </w:r>
      <w:r>
        <w:rPr>
          <w:rFonts w:ascii="Times New Roman" w:eastAsia="Times New Roman" w:hAnsi="Times New Roman" w:cs="Times New Roman"/>
          <w:i/>
        </w:rPr>
        <w:t>37</w:t>
      </w:r>
      <w:r>
        <w:rPr>
          <w:rFonts w:ascii="Times New Roman" w:eastAsia="Times New Roman" w:hAnsi="Times New Roman" w:cs="Times New Roman"/>
        </w:rPr>
        <w:t>(1), 177–199. https://doi.org/10.1111/socf.12784</w:t>
      </w:r>
    </w:p>
    <w:p w14:paraId="7CCD7B0D"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Kandie, F. J. (2020a). </w:t>
      </w:r>
      <w:r>
        <w:rPr>
          <w:rFonts w:ascii="Times New Roman" w:eastAsia="Times New Roman" w:hAnsi="Times New Roman" w:cs="Times New Roman"/>
          <w:i/>
        </w:rPr>
        <w:t>Appendix A</w:t>
      </w:r>
      <w:r>
        <w:rPr>
          <w:rFonts w:ascii="Times New Roman" w:eastAsia="Times New Roman" w:hAnsi="Times New Roman" w:cs="Times New Roman"/>
        </w:rPr>
        <w:t xml:space="preserve"> [Dataset]. </w:t>
      </w:r>
      <w:proofErr w:type="spellStart"/>
      <w:r>
        <w:rPr>
          <w:rFonts w:ascii="Times New Roman" w:eastAsia="Times New Roman" w:hAnsi="Times New Roman" w:cs="Times New Roman"/>
        </w:rPr>
        <w:t>Zenodo</w:t>
      </w:r>
      <w:proofErr w:type="spellEnd"/>
      <w:r>
        <w:rPr>
          <w:rFonts w:ascii="Times New Roman" w:eastAsia="Times New Roman" w:hAnsi="Times New Roman" w:cs="Times New Roman"/>
        </w:rPr>
        <w:t>. https://doi.org/10.5281/ZENODO.4010825</w:t>
      </w:r>
    </w:p>
    <w:p w14:paraId="71F6AC7D"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Kandie, F. J. (2020b). </w:t>
      </w:r>
      <w:r>
        <w:rPr>
          <w:rFonts w:ascii="Times New Roman" w:eastAsia="Times New Roman" w:hAnsi="Times New Roman" w:cs="Times New Roman"/>
          <w:i/>
        </w:rPr>
        <w:t>Appendix B</w:t>
      </w:r>
      <w:r>
        <w:rPr>
          <w:rFonts w:ascii="Times New Roman" w:eastAsia="Times New Roman" w:hAnsi="Times New Roman" w:cs="Times New Roman"/>
        </w:rPr>
        <w:t xml:space="preserve"> [Dataset]. </w:t>
      </w:r>
      <w:proofErr w:type="spellStart"/>
      <w:r>
        <w:rPr>
          <w:rFonts w:ascii="Times New Roman" w:eastAsia="Times New Roman" w:hAnsi="Times New Roman" w:cs="Times New Roman"/>
        </w:rPr>
        <w:t>Zenodo</w:t>
      </w:r>
      <w:proofErr w:type="spellEnd"/>
      <w:r>
        <w:rPr>
          <w:rFonts w:ascii="Times New Roman" w:eastAsia="Times New Roman" w:hAnsi="Times New Roman" w:cs="Times New Roman"/>
        </w:rPr>
        <w:t>. https://doi.org/10.5281/ZENODO.4010840</w:t>
      </w:r>
    </w:p>
    <w:p w14:paraId="1F442089" w14:textId="77777777" w:rsidR="003934E1" w:rsidRDefault="00000000">
      <w:pPr>
        <w:spacing w:line="276" w:lineRule="auto"/>
        <w:ind w:left="720"/>
        <w:rPr>
          <w:rFonts w:ascii="Times New Roman" w:eastAsia="Times New Roman" w:hAnsi="Times New Roman" w:cs="Times New Roman"/>
        </w:rPr>
      </w:pPr>
      <w:proofErr w:type="spellStart"/>
      <w:r>
        <w:rPr>
          <w:rFonts w:ascii="Times New Roman" w:eastAsia="Times New Roman" w:hAnsi="Times New Roman" w:cs="Times New Roman"/>
        </w:rPr>
        <w:t>Kirmayer</w:t>
      </w:r>
      <w:proofErr w:type="spellEnd"/>
      <w:r>
        <w:rPr>
          <w:rFonts w:ascii="Times New Roman" w:eastAsia="Times New Roman" w:hAnsi="Times New Roman" w:cs="Times New Roman"/>
        </w:rPr>
        <w:t xml:space="preserve">, L. J., Gone, J. P., &amp; Moses, J. (2014). Rethinking Historical Trauma. </w:t>
      </w:r>
      <w:r>
        <w:rPr>
          <w:rFonts w:ascii="Times New Roman" w:eastAsia="Times New Roman" w:hAnsi="Times New Roman" w:cs="Times New Roman"/>
          <w:i/>
        </w:rPr>
        <w:t>Transcultural Psychiatry</w:t>
      </w:r>
      <w:r>
        <w:rPr>
          <w:rFonts w:ascii="Times New Roman" w:eastAsia="Times New Roman" w:hAnsi="Times New Roman" w:cs="Times New Roman"/>
        </w:rPr>
        <w:t xml:space="preserve">, </w:t>
      </w:r>
      <w:r>
        <w:rPr>
          <w:rFonts w:ascii="Times New Roman" w:eastAsia="Times New Roman" w:hAnsi="Times New Roman" w:cs="Times New Roman"/>
          <w:i/>
        </w:rPr>
        <w:t>51</w:t>
      </w:r>
      <w:r>
        <w:rPr>
          <w:rFonts w:ascii="Times New Roman" w:eastAsia="Times New Roman" w:hAnsi="Times New Roman" w:cs="Times New Roman"/>
        </w:rPr>
        <w:t>(3), 299–319. https://doi.org/10.1177/1363461514536358</w:t>
      </w:r>
    </w:p>
    <w:p w14:paraId="13A0FB9E"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Lavoie, J. G., Browne, A. J., Varcoe, C., Wong, S., Fridkin, A., Littlejohn, D., &amp; Tu, D. (2015). Missing Pathways to Self-Governance: Aboriginal Health Policy in British Columbia. </w:t>
      </w:r>
      <w:r>
        <w:rPr>
          <w:rFonts w:ascii="Times New Roman" w:eastAsia="Times New Roman" w:hAnsi="Times New Roman" w:cs="Times New Roman"/>
          <w:i/>
        </w:rPr>
        <w:t>International Indigenous Policy Journal</w:t>
      </w:r>
      <w:r>
        <w:rPr>
          <w:rFonts w:ascii="Times New Roman" w:eastAsia="Times New Roman" w:hAnsi="Times New Roman" w:cs="Times New Roman"/>
        </w:rPr>
        <w:t xml:space="preserve">, </w:t>
      </w:r>
      <w:r>
        <w:rPr>
          <w:rFonts w:ascii="Times New Roman" w:eastAsia="Times New Roman" w:hAnsi="Times New Roman" w:cs="Times New Roman"/>
          <w:i/>
        </w:rPr>
        <w:t>6</w:t>
      </w:r>
      <w:r>
        <w:rPr>
          <w:rFonts w:ascii="Times New Roman" w:eastAsia="Times New Roman" w:hAnsi="Times New Roman" w:cs="Times New Roman"/>
        </w:rPr>
        <w:t>(1). https://doi.org/10.18584/iipj.2015.6.1.2</w:t>
      </w:r>
    </w:p>
    <w:p w14:paraId="21E199B1"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lastRenderedPageBreak/>
        <w:t xml:space="preserve">Leavitt, P. A., Covarrubias, R., Perez, Y. A., &amp; Fryberg, S. A. (2015). “Frozen in Time”: The Impact of Native American Media Representations on Identity and Self‐Understanding. </w:t>
      </w:r>
      <w:r>
        <w:rPr>
          <w:rFonts w:ascii="Times New Roman" w:eastAsia="Times New Roman" w:hAnsi="Times New Roman" w:cs="Times New Roman"/>
          <w:i/>
        </w:rPr>
        <w:t>Journal of Social Issues</w:t>
      </w:r>
      <w:r>
        <w:rPr>
          <w:rFonts w:ascii="Times New Roman" w:eastAsia="Times New Roman" w:hAnsi="Times New Roman" w:cs="Times New Roman"/>
        </w:rPr>
        <w:t xml:space="preserve">, </w:t>
      </w:r>
      <w:r>
        <w:rPr>
          <w:rFonts w:ascii="Times New Roman" w:eastAsia="Times New Roman" w:hAnsi="Times New Roman" w:cs="Times New Roman"/>
          <w:i/>
        </w:rPr>
        <w:t>71</w:t>
      </w:r>
      <w:r>
        <w:rPr>
          <w:rFonts w:ascii="Times New Roman" w:eastAsia="Times New Roman" w:hAnsi="Times New Roman" w:cs="Times New Roman"/>
        </w:rPr>
        <w:t>(1), 39–53. https://doi.org/10.1111/josi.12095</w:t>
      </w:r>
    </w:p>
    <w:p w14:paraId="66D1E51A"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López, J. J., Jiménez, T. Y Fryberg, S. A. (2025). The cyclical nature of the threat to Indigenous identity. </w:t>
      </w:r>
      <w:r>
        <w:rPr>
          <w:rFonts w:ascii="Times New Roman" w:eastAsia="Times New Roman" w:hAnsi="Times New Roman" w:cs="Times New Roman"/>
          <w:i/>
        </w:rPr>
        <w:t>European Review of Social Psychology</w:t>
      </w:r>
      <w:r>
        <w:rPr>
          <w:rFonts w:ascii="Times New Roman" w:eastAsia="Times New Roman" w:hAnsi="Times New Roman" w:cs="Times New Roman"/>
        </w:rPr>
        <w:t>, 1–26. https://doi.org/10.1080/10463283.2025.2498284</w:t>
      </w:r>
    </w:p>
    <w:p w14:paraId="1D4F136E"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Maldonado-Torres, N. (2007). ON THE COLONIALITY OF BEING: Contributions to the development of a concept. </w:t>
      </w:r>
      <w:r>
        <w:rPr>
          <w:rFonts w:ascii="Times New Roman" w:eastAsia="Times New Roman" w:hAnsi="Times New Roman" w:cs="Times New Roman"/>
          <w:i/>
        </w:rPr>
        <w:t>Cultural Studies</w:t>
      </w:r>
      <w:r>
        <w:rPr>
          <w:rFonts w:ascii="Times New Roman" w:eastAsia="Times New Roman" w:hAnsi="Times New Roman" w:cs="Times New Roman"/>
        </w:rPr>
        <w:t xml:space="preserve">, </w:t>
      </w:r>
      <w:r>
        <w:rPr>
          <w:rFonts w:ascii="Times New Roman" w:eastAsia="Times New Roman" w:hAnsi="Times New Roman" w:cs="Times New Roman"/>
          <w:i/>
        </w:rPr>
        <w:t>21</w:t>
      </w:r>
      <w:r>
        <w:rPr>
          <w:rFonts w:ascii="Times New Roman" w:eastAsia="Times New Roman" w:hAnsi="Times New Roman" w:cs="Times New Roman"/>
        </w:rPr>
        <w:t>(2–3), 240–270. https://doi.org/10.1080/09502380601162548</w:t>
      </w:r>
    </w:p>
    <w:p w14:paraId="7DA91589"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Martin, K., &amp; </w:t>
      </w:r>
      <w:proofErr w:type="spellStart"/>
      <w:r>
        <w:rPr>
          <w:rFonts w:ascii="Times New Roman" w:eastAsia="Times New Roman" w:hAnsi="Times New Roman" w:cs="Times New Roman"/>
        </w:rPr>
        <w:t>Mirraboopa</w:t>
      </w:r>
      <w:proofErr w:type="spellEnd"/>
      <w:r>
        <w:rPr>
          <w:rFonts w:ascii="Times New Roman" w:eastAsia="Times New Roman" w:hAnsi="Times New Roman" w:cs="Times New Roman"/>
        </w:rPr>
        <w:t xml:space="preserve">, B. (2003). Ways of knowing, being and doing: A theoretical framework and methods for indigenous and indigenist research. </w:t>
      </w:r>
      <w:r>
        <w:rPr>
          <w:rFonts w:ascii="Times New Roman" w:eastAsia="Times New Roman" w:hAnsi="Times New Roman" w:cs="Times New Roman"/>
          <w:i/>
        </w:rPr>
        <w:t>Journal of Australian Studies</w:t>
      </w:r>
      <w:r>
        <w:rPr>
          <w:rFonts w:ascii="Times New Roman" w:eastAsia="Times New Roman" w:hAnsi="Times New Roman" w:cs="Times New Roman"/>
        </w:rPr>
        <w:t xml:space="preserve">, </w:t>
      </w:r>
      <w:r>
        <w:rPr>
          <w:rFonts w:ascii="Times New Roman" w:eastAsia="Times New Roman" w:hAnsi="Times New Roman" w:cs="Times New Roman"/>
          <w:i/>
        </w:rPr>
        <w:t>27</w:t>
      </w:r>
      <w:r>
        <w:rPr>
          <w:rFonts w:ascii="Times New Roman" w:eastAsia="Times New Roman" w:hAnsi="Times New Roman" w:cs="Times New Roman"/>
        </w:rPr>
        <w:t>(76), 203–214. https://doi.org/10.1080/14443050309387838</w:t>
      </w:r>
    </w:p>
    <w:p w14:paraId="5AAC19E9"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McLister, T.-J., Rogers, K., Brockman, R., Bodkin-Andrews, G., &amp; McAloon, J. (2024). The interactive effects of Indigenous identity and lateral violence on youth adjustment in Aboriginal and Torres Strait Islander children. </w:t>
      </w:r>
      <w:r>
        <w:rPr>
          <w:rFonts w:ascii="Times New Roman" w:eastAsia="Times New Roman" w:hAnsi="Times New Roman" w:cs="Times New Roman"/>
          <w:i/>
        </w:rPr>
        <w:t>Australian Journal of Psychology</w:t>
      </w:r>
      <w:r>
        <w:rPr>
          <w:rFonts w:ascii="Times New Roman" w:eastAsia="Times New Roman" w:hAnsi="Times New Roman" w:cs="Times New Roman"/>
        </w:rPr>
        <w:t xml:space="preserve">, </w:t>
      </w:r>
      <w:r>
        <w:rPr>
          <w:rFonts w:ascii="Times New Roman" w:eastAsia="Times New Roman" w:hAnsi="Times New Roman" w:cs="Times New Roman"/>
          <w:i/>
        </w:rPr>
        <w:t>76</w:t>
      </w:r>
      <w:r>
        <w:rPr>
          <w:rFonts w:ascii="Times New Roman" w:eastAsia="Times New Roman" w:hAnsi="Times New Roman" w:cs="Times New Roman"/>
        </w:rPr>
        <w:t>(1), 2341699. https://doi.org/10.1080/00049530.2024.2341699</w:t>
      </w:r>
    </w:p>
    <w:p w14:paraId="176AE420"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McCarty, T. L., Romero-Little, M. E., Warhol, L., &amp; Zepeda, O. (2009). Indigenous Youth as Language Policy Makers. </w:t>
      </w:r>
      <w:r>
        <w:rPr>
          <w:rFonts w:ascii="Times New Roman" w:eastAsia="Times New Roman" w:hAnsi="Times New Roman" w:cs="Times New Roman"/>
          <w:i/>
        </w:rPr>
        <w:t>Journal of Language, Identity &amp; Education</w:t>
      </w:r>
      <w:r>
        <w:rPr>
          <w:rFonts w:ascii="Times New Roman" w:eastAsia="Times New Roman" w:hAnsi="Times New Roman" w:cs="Times New Roman"/>
        </w:rPr>
        <w:t xml:space="preserve">, </w:t>
      </w:r>
      <w:r>
        <w:rPr>
          <w:rFonts w:ascii="Times New Roman" w:eastAsia="Times New Roman" w:hAnsi="Times New Roman" w:cs="Times New Roman"/>
          <w:i/>
        </w:rPr>
        <w:t>8</w:t>
      </w:r>
      <w:r>
        <w:rPr>
          <w:rFonts w:ascii="Times New Roman" w:eastAsia="Times New Roman" w:hAnsi="Times New Roman" w:cs="Times New Roman"/>
        </w:rPr>
        <w:t>(5), 291–306. https://doi.org/10.1080/15348450903305098</w:t>
      </w:r>
    </w:p>
    <w:p w14:paraId="7ABE695A"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McGregor, D. (2004). Coming Full Circle: Indigenous Knowledge, Environment, and Our Future. </w:t>
      </w:r>
      <w:r>
        <w:rPr>
          <w:rFonts w:ascii="Times New Roman" w:eastAsia="Times New Roman" w:hAnsi="Times New Roman" w:cs="Times New Roman"/>
          <w:i/>
        </w:rPr>
        <w:t>The American Indian Quarterly</w:t>
      </w:r>
      <w:r>
        <w:rPr>
          <w:rFonts w:ascii="Times New Roman" w:eastAsia="Times New Roman" w:hAnsi="Times New Roman" w:cs="Times New Roman"/>
        </w:rPr>
        <w:t xml:space="preserve">, </w:t>
      </w:r>
      <w:r>
        <w:rPr>
          <w:rFonts w:ascii="Times New Roman" w:eastAsia="Times New Roman" w:hAnsi="Times New Roman" w:cs="Times New Roman"/>
          <w:i/>
        </w:rPr>
        <w:t>28</w:t>
      </w:r>
      <w:r>
        <w:rPr>
          <w:rFonts w:ascii="Times New Roman" w:eastAsia="Times New Roman" w:hAnsi="Times New Roman" w:cs="Times New Roman"/>
        </w:rPr>
        <w:t>(3), 385–410. https://doi.org/10.1353/aiq.2004.0101</w:t>
      </w:r>
    </w:p>
    <w:p w14:paraId="75DC97B4"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Meyer, M. A. (2008). Indigenous and Authentic: Hawaiian Epistemology and the Triangulation of Meaning. In N. Denzin, Y. Lincoln, &amp; L. Smith, </w:t>
      </w:r>
      <w:r>
        <w:rPr>
          <w:rFonts w:ascii="Times New Roman" w:eastAsia="Times New Roman" w:hAnsi="Times New Roman" w:cs="Times New Roman"/>
          <w:i/>
        </w:rPr>
        <w:t>Handbook of Critical and Indigenous Methodologies</w:t>
      </w:r>
      <w:r>
        <w:rPr>
          <w:rFonts w:ascii="Times New Roman" w:eastAsia="Times New Roman" w:hAnsi="Times New Roman" w:cs="Times New Roman"/>
        </w:rPr>
        <w:t xml:space="preserve"> (pp. 217–232). SAGE Publications, Inc. https://doi.org/10.4135/9781483385686.n11</w:t>
      </w:r>
    </w:p>
    <w:p w14:paraId="2AB4D7E4"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Moreton-Robinson, A. (2006). Towards a new research agenda?: Foucault, Whiteness and Indigenous sovereignty. </w:t>
      </w:r>
      <w:r>
        <w:rPr>
          <w:rFonts w:ascii="Times New Roman" w:eastAsia="Times New Roman" w:hAnsi="Times New Roman" w:cs="Times New Roman"/>
          <w:i/>
        </w:rPr>
        <w:t>Journal of Sociology</w:t>
      </w:r>
      <w:r>
        <w:rPr>
          <w:rFonts w:ascii="Times New Roman" w:eastAsia="Times New Roman" w:hAnsi="Times New Roman" w:cs="Times New Roman"/>
        </w:rPr>
        <w:t xml:space="preserve">, </w:t>
      </w:r>
      <w:r>
        <w:rPr>
          <w:rFonts w:ascii="Times New Roman" w:eastAsia="Times New Roman" w:hAnsi="Times New Roman" w:cs="Times New Roman"/>
          <w:i/>
        </w:rPr>
        <w:t>42</w:t>
      </w:r>
      <w:r>
        <w:rPr>
          <w:rFonts w:ascii="Times New Roman" w:eastAsia="Times New Roman" w:hAnsi="Times New Roman" w:cs="Times New Roman"/>
        </w:rPr>
        <w:t>(4), 383–395. https://doi.org/10.1177/1440783306069995</w:t>
      </w:r>
    </w:p>
    <w:p w14:paraId="76CB1746"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Moreton-Robinson, A. (2015). </w:t>
      </w:r>
      <w:r>
        <w:rPr>
          <w:rFonts w:ascii="Times New Roman" w:eastAsia="Times New Roman" w:hAnsi="Times New Roman" w:cs="Times New Roman"/>
          <w:i/>
        </w:rPr>
        <w:t>The White Possessive: Property, Power, and Indigenous Sovereignty</w:t>
      </w:r>
      <w:r>
        <w:rPr>
          <w:rFonts w:ascii="Times New Roman" w:eastAsia="Times New Roman" w:hAnsi="Times New Roman" w:cs="Times New Roman"/>
        </w:rPr>
        <w:t>. University of Minnesota Press. https://doi.org/10.5749/minnesota/9780816692149.001.0001</w:t>
      </w:r>
    </w:p>
    <w:p w14:paraId="6848C346"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Nakata, M. (2007). The Cultural Interface. </w:t>
      </w:r>
      <w:r>
        <w:rPr>
          <w:rFonts w:ascii="Times New Roman" w:eastAsia="Times New Roman" w:hAnsi="Times New Roman" w:cs="Times New Roman"/>
          <w:i/>
        </w:rPr>
        <w:t>The Australian Journal of Indigenous Education</w:t>
      </w:r>
      <w:r>
        <w:rPr>
          <w:rFonts w:ascii="Times New Roman" w:eastAsia="Times New Roman" w:hAnsi="Times New Roman" w:cs="Times New Roman"/>
        </w:rPr>
        <w:t xml:space="preserve">, </w:t>
      </w:r>
      <w:r>
        <w:rPr>
          <w:rFonts w:ascii="Times New Roman" w:eastAsia="Times New Roman" w:hAnsi="Times New Roman" w:cs="Times New Roman"/>
          <w:i/>
        </w:rPr>
        <w:t>36</w:t>
      </w:r>
      <w:r>
        <w:rPr>
          <w:rFonts w:ascii="Times New Roman" w:eastAsia="Times New Roman" w:hAnsi="Times New Roman" w:cs="Times New Roman"/>
        </w:rPr>
        <w:t>(S1), 7–14. https://doi.org/10.1017/S1326011100004646</w:t>
      </w:r>
    </w:p>
    <w:p w14:paraId="4A785562" w14:textId="77777777" w:rsidR="003934E1" w:rsidRDefault="00000000">
      <w:pPr>
        <w:spacing w:line="276" w:lineRule="auto"/>
        <w:ind w:left="720"/>
        <w:rPr>
          <w:rFonts w:ascii="Times New Roman" w:eastAsia="Times New Roman" w:hAnsi="Times New Roman" w:cs="Times New Roman"/>
        </w:rPr>
      </w:pPr>
      <w:proofErr w:type="spellStart"/>
      <w:r>
        <w:rPr>
          <w:rFonts w:ascii="Times New Roman" w:eastAsia="Times New Roman" w:hAnsi="Times New Roman" w:cs="Times New Roman"/>
        </w:rPr>
        <w:t>Nepia</w:t>
      </w:r>
      <w:proofErr w:type="spellEnd"/>
      <w:r>
        <w:rPr>
          <w:rFonts w:ascii="Times New Roman" w:eastAsia="Times New Roman" w:hAnsi="Times New Roman" w:cs="Times New Roman"/>
        </w:rPr>
        <w:t xml:space="preserve">, M. (2017). About the Artist: Lisa </w:t>
      </w:r>
      <w:proofErr w:type="spellStart"/>
      <w:r>
        <w:rPr>
          <w:rFonts w:ascii="Times New Roman" w:eastAsia="Times New Roman" w:hAnsi="Times New Roman" w:cs="Times New Roman"/>
        </w:rPr>
        <w:t>Reihana</w:t>
      </w:r>
      <w:proofErr w:type="spellEnd"/>
      <w:r>
        <w:rPr>
          <w:rFonts w:ascii="Times New Roman" w:eastAsia="Times New Roman" w:hAnsi="Times New Roman" w:cs="Times New Roman"/>
        </w:rPr>
        <w:t xml:space="preserve">. </w:t>
      </w:r>
      <w:r>
        <w:rPr>
          <w:rFonts w:ascii="Times New Roman" w:eastAsia="Times New Roman" w:hAnsi="Times New Roman" w:cs="Times New Roman"/>
          <w:i/>
        </w:rPr>
        <w:t>The Contemporary Pacific</w:t>
      </w:r>
      <w:r>
        <w:rPr>
          <w:rFonts w:ascii="Times New Roman" w:eastAsia="Times New Roman" w:hAnsi="Times New Roman" w:cs="Times New Roman"/>
        </w:rPr>
        <w:t xml:space="preserve">, </w:t>
      </w:r>
      <w:r>
        <w:rPr>
          <w:rFonts w:ascii="Times New Roman" w:eastAsia="Times New Roman" w:hAnsi="Times New Roman" w:cs="Times New Roman"/>
          <w:i/>
        </w:rPr>
        <w:t>29</w:t>
      </w:r>
      <w:r>
        <w:rPr>
          <w:rFonts w:ascii="Times New Roman" w:eastAsia="Times New Roman" w:hAnsi="Times New Roman" w:cs="Times New Roman"/>
        </w:rPr>
        <w:t>(1), VII–XVI. https://doi.org/10.1353/cp.2017.0000</w:t>
      </w:r>
    </w:p>
    <w:p w14:paraId="05705B3C"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 Null). (2015). </w:t>
      </w:r>
      <w:r>
        <w:rPr>
          <w:rFonts w:ascii="Times New Roman" w:eastAsia="Times New Roman" w:hAnsi="Times New Roman" w:cs="Times New Roman"/>
          <w:i/>
        </w:rPr>
        <w:t>The Golden Era</w:t>
      </w:r>
      <w:r>
        <w:rPr>
          <w:rFonts w:ascii="Times New Roman" w:eastAsia="Times New Roman" w:hAnsi="Times New Roman" w:cs="Times New Roman"/>
        </w:rPr>
        <w:t>. https://doi.org/10.14288/1.0227015</w:t>
      </w:r>
    </w:p>
    <w:p w14:paraId="4268BCFA"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Pitcher, B. (2023). Decolonisation, Indigeneity, and the Cultural Politics of Race. </w:t>
      </w:r>
      <w:r>
        <w:rPr>
          <w:rFonts w:ascii="Times New Roman" w:eastAsia="Times New Roman" w:hAnsi="Times New Roman" w:cs="Times New Roman"/>
          <w:i/>
        </w:rPr>
        <w:t>Norwegian Archaeological Review</w:t>
      </w:r>
      <w:r>
        <w:rPr>
          <w:rFonts w:ascii="Times New Roman" w:eastAsia="Times New Roman" w:hAnsi="Times New Roman" w:cs="Times New Roman"/>
        </w:rPr>
        <w:t xml:space="preserve">, </w:t>
      </w:r>
      <w:r>
        <w:rPr>
          <w:rFonts w:ascii="Times New Roman" w:eastAsia="Times New Roman" w:hAnsi="Times New Roman" w:cs="Times New Roman"/>
          <w:i/>
        </w:rPr>
        <w:t>56</w:t>
      </w:r>
      <w:r>
        <w:rPr>
          <w:rFonts w:ascii="Times New Roman" w:eastAsia="Times New Roman" w:hAnsi="Times New Roman" w:cs="Times New Roman"/>
        </w:rPr>
        <w:t>(1), 100–102. https://doi.org/10.1080/00293652.2023.2203149</w:t>
      </w:r>
    </w:p>
    <w:p w14:paraId="472694CB"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Rauna Kuokkanen. (2011). Indigenous Economies, Theories of Subsistence, and Women: Exploring the Social Economy Model for Indigenous Governance. </w:t>
      </w:r>
      <w:r>
        <w:rPr>
          <w:rFonts w:ascii="Times New Roman" w:eastAsia="Times New Roman" w:hAnsi="Times New Roman" w:cs="Times New Roman"/>
          <w:i/>
        </w:rPr>
        <w:t>American Indian Quarterly</w:t>
      </w:r>
      <w:r>
        <w:rPr>
          <w:rFonts w:ascii="Times New Roman" w:eastAsia="Times New Roman" w:hAnsi="Times New Roman" w:cs="Times New Roman"/>
        </w:rPr>
        <w:t xml:space="preserve">, </w:t>
      </w:r>
      <w:r>
        <w:rPr>
          <w:rFonts w:ascii="Times New Roman" w:eastAsia="Times New Roman" w:hAnsi="Times New Roman" w:cs="Times New Roman"/>
          <w:i/>
        </w:rPr>
        <w:t>35</w:t>
      </w:r>
      <w:r>
        <w:rPr>
          <w:rFonts w:ascii="Times New Roman" w:eastAsia="Times New Roman" w:hAnsi="Times New Roman" w:cs="Times New Roman"/>
        </w:rPr>
        <w:t>(2), 215. https://doi.org/10.5250/amerindiquar.35.2.0215</w:t>
      </w:r>
    </w:p>
    <w:p w14:paraId="2E26FEA6"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lastRenderedPageBreak/>
        <w:t>Richter-</w:t>
      </w:r>
      <w:proofErr w:type="spellStart"/>
      <w:r>
        <w:rPr>
          <w:rFonts w:ascii="Times New Roman" w:eastAsia="Times New Roman" w:hAnsi="Times New Roman" w:cs="Times New Roman"/>
        </w:rPr>
        <w:t>Devroe</w:t>
      </w:r>
      <w:proofErr w:type="spellEnd"/>
      <w:r>
        <w:rPr>
          <w:rFonts w:ascii="Times New Roman" w:eastAsia="Times New Roman" w:hAnsi="Times New Roman" w:cs="Times New Roman"/>
        </w:rPr>
        <w:t xml:space="preserve">, S. (2012). Defending Their Land, Protecting Their Men: PALESTINIAN WOMEN Are POPULAR RESISTANCE AFTER THE SECOND INTIFADA. </w:t>
      </w:r>
      <w:r>
        <w:rPr>
          <w:rFonts w:ascii="Times New Roman" w:eastAsia="Times New Roman" w:hAnsi="Times New Roman" w:cs="Times New Roman"/>
          <w:i/>
        </w:rPr>
        <w:t>International Feminist Journal of Politics</w:t>
      </w:r>
      <w:r>
        <w:rPr>
          <w:rFonts w:ascii="Times New Roman" w:eastAsia="Times New Roman" w:hAnsi="Times New Roman" w:cs="Times New Roman"/>
        </w:rPr>
        <w:t xml:space="preserve">, </w:t>
      </w:r>
      <w:r>
        <w:rPr>
          <w:rFonts w:ascii="Times New Roman" w:eastAsia="Times New Roman" w:hAnsi="Times New Roman" w:cs="Times New Roman"/>
          <w:i/>
        </w:rPr>
        <w:t>14</w:t>
      </w:r>
      <w:r>
        <w:rPr>
          <w:rFonts w:ascii="Times New Roman" w:eastAsia="Times New Roman" w:hAnsi="Times New Roman" w:cs="Times New Roman"/>
        </w:rPr>
        <w:t>(2), 181–201. https://doi.org/10.1080/14616742.2012.659856</w:t>
      </w:r>
    </w:p>
    <w:p w14:paraId="2903E40C"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Rigney, L.-I. (1999). Internationalisation of an Indigenous Anticolonial Cultural Critique of Research Methodologies: A Guide to Indigenist Research Methodology and Its Principles. </w:t>
      </w:r>
      <w:r>
        <w:rPr>
          <w:rFonts w:ascii="Times New Roman" w:eastAsia="Times New Roman" w:hAnsi="Times New Roman" w:cs="Times New Roman"/>
          <w:i/>
        </w:rPr>
        <w:t>Wicazo Sa Review</w:t>
      </w:r>
      <w:r>
        <w:rPr>
          <w:rFonts w:ascii="Times New Roman" w:eastAsia="Times New Roman" w:hAnsi="Times New Roman" w:cs="Times New Roman"/>
        </w:rPr>
        <w:t xml:space="preserve">, </w:t>
      </w:r>
      <w:r>
        <w:rPr>
          <w:rFonts w:ascii="Times New Roman" w:eastAsia="Times New Roman" w:hAnsi="Times New Roman" w:cs="Times New Roman"/>
          <w:i/>
        </w:rPr>
        <w:t>14</w:t>
      </w:r>
      <w:r>
        <w:rPr>
          <w:rFonts w:ascii="Times New Roman" w:eastAsia="Times New Roman" w:hAnsi="Times New Roman" w:cs="Times New Roman"/>
        </w:rPr>
        <w:t>(2), 109. https://doi.org/10.2307/1409555</w:t>
      </w:r>
    </w:p>
    <w:p w14:paraId="15506D9D"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Roberts, B. R., &amp; Stephens, M. A. (Eds.). (2020). </w:t>
      </w:r>
      <w:r>
        <w:rPr>
          <w:rFonts w:ascii="Times New Roman" w:eastAsia="Times New Roman" w:hAnsi="Times New Roman" w:cs="Times New Roman"/>
          <w:i/>
        </w:rPr>
        <w:t>Archipelagic American Studies</w:t>
      </w:r>
      <w:r>
        <w:rPr>
          <w:rFonts w:ascii="Times New Roman" w:eastAsia="Times New Roman" w:hAnsi="Times New Roman" w:cs="Times New Roman"/>
        </w:rPr>
        <w:t>. Duke University Press. https://doi.org/10.1515/9780822373209</w:t>
      </w:r>
    </w:p>
    <w:p w14:paraId="4989DDED"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Schechter, L. (2016). Shakespeare and the Performance of Girlhood by Deanne Williams. </w:t>
      </w:r>
      <w:r>
        <w:rPr>
          <w:rFonts w:ascii="Times New Roman" w:eastAsia="Times New Roman" w:hAnsi="Times New Roman" w:cs="Times New Roman"/>
          <w:i/>
        </w:rPr>
        <w:t>ESC: English Studies in Canada</w:t>
      </w:r>
      <w:r>
        <w:rPr>
          <w:rFonts w:ascii="Times New Roman" w:eastAsia="Times New Roman" w:hAnsi="Times New Roman" w:cs="Times New Roman"/>
        </w:rPr>
        <w:t xml:space="preserve">, </w:t>
      </w:r>
      <w:r>
        <w:rPr>
          <w:rFonts w:ascii="Times New Roman" w:eastAsia="Times New Roman" w:hAnsi="Times New Roman" w:cs="Times New Roman"/>
          <w:i/>
        </w:rPr>
        <w:t>42</w:t>
      </w:r>
      <w:r>
        <w:rPr>
          <w:rFonts w:ascii="Times New Roman" w:eastAsia="Times New Roman" w:hAnsi="Times New Roman" w:cs="Times New Roman"/>
        </w:rPr>
        <w:t>(1–2), 237–241. https://doi.org/10.1353/esc.2016.0010</w:t>
      </w:r>
    </w:p>
    <w:p w14:paraId="4913A849"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Shen, Y. (2019). Intelligent Infrastructure, Ubiquitous Mobility, and Smart Libraries – Innovate for the Future. </w:t>
      </w:r>
      <w:r>
        <w:rPr>
          <w:rFonts w:ascii="Times New Roman" w:eastAsia="Times New Roman" w:hAnsi="Times New Roman" w:cs="Times New Roman"/>
          <w:i/>
        </w:rPr>
        <w:t>Data Science Journal</w:t>
      </w:r>
      <w:r>
        <w:rPr>
          <w:rFonts w:ascii="Times New Roman" w:eastAsia="Times New Roman" w:hAnsi="Times New Roman" w:cs="Times New Roman"/>
        </w:rPr>
        <w:t xml:space="preserve">, </w:t>
      </w:r>
      <w:r>
        <w:rPr>
          <w:rFonts w:ascii="Times New Roman" w:eastAsia="Times New Roman" w:hAnsi="Times New Roman" w:cs="Times New Roman"/>
          <w:i/>
        </w:rPr>
        <w:t>18</w:t>
      </w:r>
      <w:r>
        <w:rPr>
          <w:rFonts w:ascii="Times New Roman" w:eastAsia="Times New Roman" w:hAnsi="Times New Roman" w:cs="Times New Roman"/>
        </w:rPr>
        <w:t>, 11. https://doi.org/10.5334/dsj-2019-011</w:t>
      </w:r>
    </w:p>
    <w:p w14:paraId="122BD489"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Simpson, A. (2014). </w:t>
      </w:r>
      <w:r>
        <w:rPr>
          <w:rFonts w:ascii="Times New Roman" w:eastAsia="Times New Roman" w:hAnsi="Times New Roman" w:cs="Times New Roman"/>
          <w:i/>
        </w:rPr>
        <w:t>Mohawk Interruptus: Political Life Across the Borders of Settler States</w:t>
      </w:r>
      <w:r>
        <w:rPr>
          <w:rFonts w:ascii="Times New Roman" w:eastAsia="Times New Roman" w:hAnsi="Times New Roman" w:cs="Times New Roman"/>
        </w:rPr>
        <w:t>. Duke University Press. https://doi.org/10.1515/9780822376781</w:t>
      </w:r>
    </w:p>
    <w:p w14:paraId="36854158"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Smith, L. T., Tuck, E., &amp; Yang, K. W. (Eds.). (2018). </w:t>
      </w:r>
      <w:r>
        <w:rPr>
          <w:rFonts w:ascii="Times New Roman" w:eastAsia="Times New Roman" w:hAnsi="Times New Roman" w:cs="Times New Roman"/>
          <w:i/>
        </w:rPr>
        <w:t>Indigenous and Decolonising Studies in Education: Mapping the Long View</w:t>
      </w:r>
      <w:r>
        <w:rPr>
          <w:rFonts w:ascii="Times New Roman" w:eastAsia="Times New Roman" w:hAnsi="Times New Roman" w:cs="Times New Roman"/>
        </w:rPr>
        <w:t xml:space="preserve"> (1st ed.). Routledge. https://doi.org/10.4324/9780429505010</w:t>
      </w:r>
    </w:p>
    <w:p w14:paraId="3128A1F0"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Spivak, G. C. (1999). </w:t>
      </w:r>
      <w:r>
        <w:rPr>
          <w:rFonts w:ascii="Times New Roman" w:eastAsia="Times New Roman" w:hAnsi="Times New Roman" w:cs="Times New Roman"/>
          <w:i/>
        </w:rPr>
        <w:t>A Critique of Postcolonial Reason: Toward a History of the Vanishing Present</w:t>
      </w:r>
      <w:r>
        <w:rPr>
          <w:rFonts w:ascii="Times New Roman" w:eastAsia="Times New Roman" w:hAnsi="Times New Roman" w:cs="Times New Roman"/>
        </w:rPr>
        <w:t>. Harvard University Press. https://doi.org/10.2307/j.ctvjsf541</w:t>
      </w:r>
    </w:p>
    <w:p w14:paraId="7ED94D46" w14:textId="77777777" w:rsidR="003934E1" w:rsidRDefault="00000000">
      <w:pPr>
        <w:spacing w:line="276" w:lineRule="auto"/>
        <w:ind w:left="720"/>
        <w:rPr>
          <w:rFonts w:ascii="Times New Roman" w:eastAsia="Times New Roman" w:hAnsi="Times New Roman" w:cs="Times New Roman"/>
        </w:rPr>
      </w:pPr>
      <w:proofErr w:type="spellStart"/>
      <w:r>
        <w:rPr>
          <w:rFonts w:ascii="Times New Roman" w:eastAsia="Times New Roman" w:hAnsi="Times New Roman" w:cs="Times New Roman"/>
        </w:rPr>
        <w:t>TallBear</w:t>
      </w:r>
      <w:proofErr w:type="spellEnd"/>
      <w:r>
        <w:rPr>
          <w:rFonts w:ascii="Times New Roman" w:eastAsia="Times New Roman" w:hAnsi="Times New Roman" w:cs="Times New Roman"/>
        </w:rPr>
        <w:t xml:space="preserve">, K. (2013). </w:t>
      </w:r>
      <w:r>
        <w:rPr>
          <w:rFonts w:ascii="Times New Roman" w:eastAsia="Times New Roman" w:hAnsi="Times New Roman" w:cs="Times New Roman"/>
          <w:i/>
        </w:rPr>
        <w:t>Native American DNA: Tribal Belonging and the False Promise of Genetic Science</w:t>
      </w:r>
      <w:r>
        <w:rPr>
          <w:rFonts w:ascii="Times New Roman" w:eastAsia="Times New Roman" w:hAnsi="Times New Roman" w:cs="Times New Roman"/>
        </w:rPr>
        <w:t>. University of Minnesota Press. https://doi.org/10.5749/minnesota/9780816665853.001.0001</w:t>
      </w:r>
    </w:p>
    <w:p w14:paraId="71767581"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Taylor, A. (2018). Knowledge Citizens? Intellectual Disability and the Production of Social Meanings Within Educational Research. </w:t>
      </w:r>
      <w:r>
        <w:rPr>
          <w:rFonts w:ascii="Times New Roman" w:eastAsia="Times New Roman" w:hAnsi="Times New Roman" w:cs="Times New Roman"/>
          <w:i/>
        </w:rPr>
        <w:t>Harvard Educational Review</w:t>
      </w:r>
      <w:r>
        <w:rPr>
          <w:rFonts w:ascii="Times New Roman" w:eastAsia="Times New Roman" w:hAnsi="Times New Roman" w:cs="Times New Roman"/>
        </w:rPr>
        <w:t xml:space="preserve">, </w:t>
      </w:r>
      <w:r>
        <w:rPr>
          <w:rFonts w:ascii="Times New Roman" w:eastAsia="Times New Roman" w:hAnsi="Times New Roman" w:cs="Times New Roman"/>
          <w:i/>
        </w:rPr>
        <w:t>88</w:t>
      </w:r>
      <w:r>
        <w:rPr>
          <w:rFonts w:ascii="Times New Roman" w:eastAsia="Times New Roman" w:hAnsi="Times New Roman" w:cs="Times New Roman"/>
        </w:rPr>
        <w:t>(1), 1–25. https://doi.org/10.17763/1943-5045-88.1.1</w:t>
      </w:r>
    </w:p>
    <w:p w14:paraId="6886D876" w14:textId="77777777" w:rsidR="003934E1" w:rsidRDefault="00000000">
      <w:pPr>
        <w:spacing w:line="276" w:lineRule="auto"/>
        <w:ind w:left="720"/>
        <w:rPr>
          <w:rFonts w:ascii="Times New Roman" w:eastAsia="Times New Roman" w:hAnsi="Times New Roman" w:cs="Times New Roman"/>
        </w:rPr>
      </w:pPr>
      <w:proofErr w:type="spellStart"/>
      <w:r>
        <w:rPr>
          <w:rFonts w:ascii="Times New Roman" w:eastAsia="Times New Roman" w:hAnsi="Times New Roman" w:cs="Times New Roman"/>
        </w:rPr>
        <w:t>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rangahau</w:t>
      </w:r>
      <w:proofErr w:type="spellEnd"/>
      <w:r>
        <w:rPr>
          <w:rFonts w:ascii="Times New Roman" w:eastAsia="Times New Roman" w:hAnsi="Times New Roman" w:cs="Times New Roman"/>
        </w:rPr>
        <w:t xml:space="preserve"> o </w:t>
      </w:r>
      <w:proofErr w:type="spellStart"/>
      <w:r>
        <w:rPr>
          <w:rFonts w:ascii="Times New Roman" w:eastAsia="Times New Roman" w:hAnsi="Times New Roman" w:cs="Times New Roman"/>
        </w:rPr>
        <w:t>te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tuakiri</w:t>
      </w:r>
      <w:proofErr w:type="spellEnd"/>
      <w:r>
        <w:rPr>
          <w:rFonts w:ascii="Times New Roman" w:eastAsia="Times New Roman" w:hAnsi="Times New Roman" w:cs="Times New Roman"/>
        </w:rPr>
        <w:t xml:space="preserve"> Māori me </w:t>
      </w:r>
      <w:proofErr w:type="spellStart"/>
      <w:r>
        <w:rPr>
          <w:rFonts w:ascii="Times New Roman" w:eastAsia="Times New Roman" w:hAnsi="Times New Roman" w:cs="Times New Roman"/>
        </w:rPr>
        <w:t>ngā</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waiaro</w:t>
      </w:r>
      <w:proofErr w:type="spellEnd"/>
      <w:r>
        <w:rPr>
          <w:rFonts w:ascii="Times New Roman" w:eastAsia="Times New Roman" w:hAnsi="Times New Roman" w:cs="Times New Roman"/>
        </w:rPr>
        <w:t xml:space="preserve"> ā-</w:t>
      </w:r>
      <w:proofErr w:type="spellStart"/>
      <w:r>
        <w:rPr>
          <w:rFonts w:ascii="Times New Roman" w:eastAsia="Times New Roman" w:hAnsi="Times New Roman" w:cs="Times New Roman"/>
        </w:rPr>
        <w:t>pūtea</w:t>
      </w:r>
      <w:proofErr w:type="spellEnd"/>
      <w:r>
        <w:rPr>
          <w:rFonts w:ascii="Times New Roman" w:eastAsia="Times New Roman" w:hAnsi="Times New Roman" w:cs="Times New Roman"/>
        </w:rPr>
        <w:t xml:space="preserve"> | The Māori identity and financial attitudes study (</w:t>
      </w:r>
      <w:proofErr w:type="spellStart"/>
      <w:r>
        <w:rPr>
          <w:rFonts w:ascii="Times New Roman" w:eastAsia="Times New Roman" w:hAnsi="Times New Roman" w:cs="Times New Roman"/>
        </w:rPr>
        <w:t>mifas</w:t>
      </w:r>
      <w:proofErr w:type="spellEnd"/>
      <w:r>
        <w:rPr>
          <w:rFonts w:ascii="Times New Roman" w:eastAsia="Times New Roman" w:hAnsi="Times New Roman" w:cs="Times New Roman"/>
        </w:rPr>
        <w:t xml:space="preserve">)—Background, theoretical orientation and first-wave response rates. (2019). </w:t>
      </w:r>
      <w:r>
        <w:rPr>
          <w:rFonts w:ascii="Times New Roman" w:eastAsia="Times New Roman" w:hAnsi="Times New Roman" w:cs="Times New Roman"/>
          <w:i/>
        </w:rPr>
        <w:t>MAI Journal: A New Zealand Journal of Indigenous Scholarship</w:t>
      </w:r>
      <w:r>
        <w:rPr>
          <w:rFonts w:ascii="Times New Roman" w:eastAsia="Times New Roman" w:hAnsi="Times New Roman" w:cs="Times New Roman"/>
        </w:rPr>
        <w:t xml:space="preserve">, </w:t>
      </w:r>
      <w:r>
        <w:rPr>
          <w:rFonts w:ascii="Times New Roman" w:eastAsia="Times New Roman" w:hAnsi="Times New Roman" w:cs="Times New Roman"/>
          <w:i/>
        </w:rPr>
        <w:t>8</w:t>
      </w:r>
      <w:r>
        <w:rPr>
          <w:rFonts w:ascii="Times New Roman" w:eastAsia="Times New Roman" w:hAnsi="Times New Roman" w:cs="Times New Roman"/>
        </w:rPr>
        <w:t>(2). https://doi.org/10.20507/MAIJournal.2019.8.2.4</w:t>
      </w:r>
    </w:p>
    <w:p w14:paraId="182B17C9"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Tuck, E. (2009). Suspending Damage: A Letter to Communities. </w:t>
      </w:r>
      <w:r>
        <w:rPr>
          <w:rFonts w:ascii="Times New Roman" w:eastAsia="Times New Roman" w:hAnsi="Times New Roman" w:cs="Times New Roman"/>
          <w:i/>
        </w:rPr>
        <w:t>Harvard Educational Review</w:t>
      </w:r>
      <w:r>
        <w:rPr>
          <w:rFonts w:ascii="Times New Roman" w:eastAsia="Times New Roman" w:hAnsi="Times New Roman" w:cs="Times New Roman"/>
        </w:rPr>
        <w:t xml:space="preserve">, </w:t>
      </w:r>
      <w:r>
        <w:rPr>
          <w:rFonts w:ascii="Times New Roman" w:eastAsia="Times New Roman" w:hAnsi="Times New Roman" w:cs="Times New Roman"/>
          <w:i/>
        </w:rPr>
        <w:t>79</w:t>
      </w:r>
      <w:r>
        <w:rPr>
          <w:rFonts w:ascii="Times New Roman" w:eastAsia="Times New Roman" w:hAnsi="Times New Roman" w:cs="Times New Roman"/>
        </w:rPr>
        <w:t>(3), 409–428. https://doi.org/10.17763/haer.79.3.n0016675661t3n15</w:t>
      </w:r>
    </w:p>
    <w:p w14:paraId="483C4998" w14:textId="77777777" w:rsidR="003934E1" w:rsidRDefault="00000000">
      <w:pPr>
        <w:spacing w:line="276" w:lineRule="auto"/>
        <w:ind w:left="720"/>
        <w:rPr>
          <w:rFonts w:ascii="Times New Roman" w:eastAsia="Times New Roman" w:hAnsi="Times New Roman" w:cs="Times New Roman"/>
        </w:rPr>
      </w:pPr>
      <w:proofErr w:type="spellStart"/>
      <w:r>
        <w:rPr>
          <w:rFonts w:ascii="Times New Roman" w:eastAsia="Times New Roman" w:hAnsi="Times New Roman" w:cs="Times New Roman"/>
        </w:rPr>
        <w:t>Tykhonov</w:t>
      </w:r>
      <w:proofErr w:type="spellEnd"/>
      <w:r>
        <w:rPr>
          <w:rFonts w:ascii="Times New Roman" w:eastAsia="Times New Roman" w:hAnsi="Times New Roman" w:cs="Times New Roman"/>
        </w:rPr>
        <w:t xml:space="preserve">, V., &amp; </w:t>
      </w:r>
      <w:proofErr w:type="spellStart"/>
      <w:r>
        <w:rPr>
          <w:rFonts w:ascii="Times New Roman" w:eastAsia="Times New Roman" w:hAnsi="Times New Roman" w:cs="Times New Roman"/>
        </w:rPr>
        <w:t>Braukmann</w:t>
      </w:r>
      <w:proofErr w:type="spellEnd"/>
      <w:r>
        <w:rPr>
          <w:rFonts w:ascii="Times New Roman" w:eastAsia="Times New Roman" w:hAnsi="Times New Roman" w:cs="Times New Roman"/>
        </w:rPr>
        <w:t xml:space="preserve">, R. (2020). </w:t>
      </w:r>
      <w:r>
        <w:rPr>
          <w:rFonts w:ascii="Times New Roman" w:eastAsia="Times New Roman" w:hAnsi="Times New Roman" w:cs="Times New Roman"/>
          <w:i/>
        </w:rPr>
        <w:t xml:space="preserve">FREYA Guest Webinar: </w:t>
      </w:r>
      <w:proofErr w:type="spellStart"/>
      <w:r>
        <w:rPr>
          <w:rFonts w:ascii="Times New Roman" w:eastAsia="Times New Roman" w:hAnsi="Times New Roman" w:cs="Times New Roman"/>
          <w:i/>
        </w:rPr>
        <w:t>CoronaWhy</w:t>
      </w:r>
      <w:proofErr w:type="spellEnd"/>
      <w:r>
        <w:rPr>
          <w:rFonts w:ascii="Times New Roman" w:eastAsia="Times New Roman" w:hAnsi="Times New Roman" w:cs="Times New Roman"/>
          <w:i/>
        </w:rPr>
        <w:t xml:space="preserve"> Knowledge Graph</w:t>
      </w:r>
      <w:r>
        <w:rPr>
          <w:rFonts w:ascii="Times New Roman" w:eastAsia="Times New Roman" w:hAnsi="Times New Roman" w:cs="Times New Roman"/>
        </w:rPr>
        <w:t>. https://doi.org/10.5281/ZENODO.4010843</w:t>
      </w:r>
    </w:p>
    <w:p w14:paraId="4BE02250"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Update. (2000). </w:t>
      </w:r>
      <w:r>
        <w:rPr>
          <w:rFonts w:ascii="Times New Roman" w:eastAsia="Times New Roman" w:hAnsi="Times New Roman" w:cs="Times New Roman"/>
          <w:i/>
        </w:rPr>
        <w:t>Educational Researcher</w:t>
      </w:r>
      <w:r>
        <w:rPr>
          <w:rFonts w:ascii="Times New Roman" w:eastAsia="Times New Roman" w:hAnsi="Times New Roman" w:cs="Times New Roman"/>
        </w:rPr>
        <w:t xml:space="preserve">, </w:t>
      </w:r>
      <w:r>
        <w:rPr>
          <w:rFonts w:ascii="Times New Roman" w:eastAsia="Times New Roman" w:hAnsi="Times New Roman" w:cs="Times New Roman"/>
          <w:i/>
        </w:rPr>
        <w:t>29</w:t>
      </w:r>
      <w:r>
        <w:rPr>
          <w:rFonts w:ascii="Times New Roman" w:eastAsia="Times New Roman" w:hAnsi="Times New Roman" w:cs="Times New Roman"/>
        </w:rPr>
        <w:t>(5), 31–31. https://doi.org/10.3102/0013189X029005031</w:t>
      </w:r>
    </w:p>
    <w:p w14:paraId="70912596" w14:textId="77777777" w:rsidR="003934E1"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Walters, K. L., Mohammed, S. A., Evans-Campbell, T., Beltrán, R. E., Chae, D. H., &amp; Duran, B. (2011). BODIES DO NOT JUST TELL STORIES, THEY TELL HISTORIES: Embodiment of Historical Trauma among American Indians and Alaska Natives. </w:t>
      </w:r>
      <w:r>
        <w:rPr>
          <w:rFonts w:ascii="Times New Roman" w:eastAsia="Times New Roman" w:hAnsi="Times New Roman" w:cs="Times New Roman"/>
          <w:i/>
        </w:rPr>
        <w:t>Du Bois Review: Social Science Research on Race</w:t>
      </w:r>
      <w:r>
        <w:rPr>
          <w:rFonts w:ascii="Times New Roman" w:eastAsia="Times New Roman" w:hAnsi="Times New Roman" w:cs="Times New Roman"/>
        </w:rPr>
        <w:t xml:space="preserve">, </w:t>
      </w:r>
      <w:r>
        <w:rPr>
          <w:rFonts w:ascii="Times New Roman" w:eastAsia="Times New Roman" w:hAnsi="Times New Roman" w:cs="Times New Roman"/>
          <w:i/>
        </w:rPr>
        <w:t>8</w:t>
      </w:r>
      <w:r>
        <w:rPr>
          <w:rFonts w:ascii="Times New Roman" w:eastAsia="Times New Roman" w:hAnsi="Times New Roman" w:cs="Times New Roman"/>
        </w:rPr>
        <w:t>(1), 179–189. https://doi.org/10.1017/S1742058X1100018X</w:t>
      </w:r>
    </w:p>
    <w:p w14:paraId="0B5BD31F" w14:textId="77777777" w:rsidR="003934E1" w:rsidRDefault="003934E1">
      <w:pPr>
        <w:spacing w:after="200" w:line="276" w:lineRule="auto"/>
        <w:jc w:val="center"/>
        <w:rPr>
          <w:rFonts w:ascii="Times New Roman" w:eastAsia="Times New Roman" w:hAnsi="Times New Roman" w:cs="Times New Roman"/>
          <w:u w:val="single"/>
        </w:rPr>
      </w:pPr>
    </w:p>
    <w:p w14:paraId="5CBF07D4" w14:textId="77777777" w:rsidR="003934E1" w:rsidRDefault="003934E1">
      <w:pPr>
        <w:pStyle w:val="Heading1"/>
        <w:spacing w:line="276" w:lineRule="auto"/>
        <w:rPr>
          <w:rFonts w:ascii="Times New Roman" w:eastAsia="Times New Roman" w:hAnsi="Times New Roman" w:cs="Times New Roman"/>
          <w:color w:val="366091"/>
          <w:sz w:val="24"/>
          <w:szCs w:val="24"/>
        </w:rPr>
      </w:pPr>
    </w:p>
    <w:p w14:paraId="279C395E" w14:textId="77777777" w:rsidR="003934E1" w:rsidRDefault="003934E1">
      <w:pPr>
        <w:spacing w:line="360" w:lineRule="auto"/>
        <w:jc w:val="both"/>
        <w:rPr>
          <w:rFonts w:ascii="Times New Roman" w:eastAsia="Times New Roman" w:hAnsi="Times New Roman" w:cs="Times New Roman"/>
        </w:rPr>
      </w:pPr>
    </w:p>
    <w:p w14:paraId="2F518D76" w14:textId="77777777" w:rsidR="003934E1" w:rsidRDefault="003934E1">
      <w:pPr>
        <w:spacing w:line="360" w:lineRule="auto"/>
        <w:jc w:val="both"/>
        <w:rPr>
          <w:rFonts w:ascii="Times New Roman" w:eastAsia="Times New Roman" w:hAnsi="Times New Roman" w:cs="Times New Roman"/>
        </w:rPr>
      </w:pPr>
    </w:p>
    <w:p w14:paraId="66ACB830" w14:textId="77777777" w:rsidR="003934E1" w:rsidRDefault="003934E1">
      <w:pPr>
        <w:spacing w:line="360" w:lineRule="auto"/>
        <w:jc w:val="both"/>
        <w:rPr>
          <w:rFonts w:ascii="Times New Roman" w:eastAsia="Times New Roman" w:hAnsi="Times New Roman" w:cs="Times New Roman"/>
        </w:rPr>
      </w:pPr>
    </w:p>
    <w:p w14:paraId="0B22FEDB" w14:textId="77777777" w:rsidR="003934E1" w:rsidRDefault="00000000">
      <w:pPr>
        <w:spacing w:after="200" w:line="276" w:lineRule="auto"/>
        <w:jc w:val="center"/>
        <w:rPr>
          <w:rFonts w:ascii="Times New Roman" w:eastAsia="Times New Roman" w:hAnsi="Times New Roman" w:cs="Times New Roman"/>
          <w:b/>
        </w:rPr>
      </w:pPr>
      <w:r>
        <w:rPr>
          <w:rFonts w:ascii="Times New Roman" w:eastAsia="Times New Roman" w:hAnsi="Times New Roman" w:cs="Times New Roman"/>
          <w:b/>
        </w:rPr>
        <w:t>“</w:t>
      </w:r>
      <w:proofErr w:type="spellStart"/>
      <w:r>
        <w:rPr>
          <w:rFonts w:ascii="Times New Roman" w:eastAsia="Times New Roman" w:hAnsi="Times New Roman" w:cs="Times New Roman"/>
          <w:b/>
          <w:i/>
        </w:rPr>
        <w:t>Adivasiyat</w:t>
      </w:r>
      <w:proofErr w:type="spellEnd"/>
      <w:r>
        <w:rPr>
          <w:rFonts w:ascii="Times New Roman" w:eastAsia="Times New Roman" w:hAnsi="Times New Roman" w:cs="Times New Roman"/>
          <w:b/>
        </w:rPr>
        <w:t>: A philosophy to decolonize the tribe”</w:t>
      </w:r>
    </w:p>
    <w:p w14:paraId="5897BCDF" w14:textId="77777777" w:rsidR="003934E1" w:rsidRDefault="003934E1">
      <w:pPr>
        <w:jc w:val="right"/>
        <w:rPr>
          <w:rFonts w:ascii="Times New Roman" w:eastAsia="Times New Roman" w:hAnsi="Times New Roman" w:cs="Times New Roman"/>
          <w:b/>
        </w:rPr>
      </w:pPr>
    </w:p>
    <w:p w14:paraId="5035A262" w14:textId="77777777" w:rsidR="003934E1" w:rsidRDefault="00000000">
      <w:pPr>
        <w:jc w:val="right"/>
        <w:rPr>
          <w:rFonts w:ascii="Times New Roman" w:eastAsia="Times New Roman" w:hAnsi="Times New Roman" w:cs="Times New Roman"/>
          <w:b/>
        </w:rPr>
      </w:pPr>
      <w:r>
        <w:rPr>
          <w:rFonts w:ascii="Times New Roman" w:eastAsia="Times New Roman" w:hAnsi="Times New Roman" w:cs="Times New Roman"/>
          <w:b/>
        </w:rPr>
        <w:t xml:space="preserve">Dr. Roshan Praveen </w:t>
      </w:r>
      <w:proofErr w:type="spellStart"/>
      <w:r>
        <w:rPr>
          <w:rFonts w:ascii="Times New Roman" w:eastAsia="Times New Roman" w:hAnsi="Times New Roman" w:cs="Times New Roman"/>
          <w:b/>
        </w:rPr>
        <w:t>Xalxo</w:t>
      </w:r>
      <w:proofErr w:type="spellEnd"/>
    </w:p>
    <w:p w14:paraId="34A36E9B" w14:textId="77777777" w:rsidR="003934E1" w:rsidRDefault="00000000">
      <w:pPr>
        <w:jc w:val="right"/>
        <w:rPr>
          <w:rFonts w:ascii="Times New Roman" w:eastAsia="Times New Roman" w:hAnsi="Times New Roman" w:cs="Times New Roman"/>
        </w:rPr>
      </w:pPr>
      <w:r>
        <w:rPr>
          <w:rFonts w:ascii="Times New Roman" w:eastAsia="Times New Roman" w:hAnsi="Times New Roman" w:cs="Times New Roman"/>
        </w:rPr>
        <w:t>Assistant Professor</w:t>
      </w:r>
    </w:p>
    <w:p w14:paraId="7CD70473" w14:textId="77777777" w:rsidR="003934E1" w:rsidRDefault="00000000">
      <w:pPr>
        <w:jc w:val="right"/>
        <w:rPr>
          <w:rFonts w:ascii="Times New Roman" w:eastAsia="Times New Roman" w:hAnsi="Times New Roman" w:cs="Times New Roman"/>
        </w:rPr>
      </w:pPr>
      <w:r>
        <w:rPr>
          <w:rFonts w:ascii="Times New Roman" w:eastAsia="Times New Roman" w:hAnsi="Times New Roman" w:cs="Times New Roman"/>
        </w:rPr>
        <w:t>Department of Philosophy</w:t>
      </w:r>
    </w:p>
    <w:p w14:paraId="5FD2AF4E" w14:textId="77777777" w:rsidR="003934E1" w:rsidRDefault="00000000">
      <w:pPr>
        <w:jc w:val="right"/>
        <w:rPr>
          <w:rFonts w:ascii="Times New Roman" w:eastAsia="Times New Roman" w:hAnsi="Times New Roman" w:cs="Times New Roman"/>
        </w:rPr>
      </w:pPr>
      <w:r>
        <w:rPr>
          <w:rFonts w:ascii="Times New Roman" w:eastAsia="Times New Roman" w:hAnsi="Times New Roman" w:cs="Times New Roman"/>
        </w:rPr>
        <w:t xml:space="preserve">B.S. College, </w:t>
      </w:r>
      <w:proofErr w:type="spellStart"/>
      <w:r>
        <w:rPr>
          <w:rFonts w:ascii="Times New Roman" w:eastAsia="Times New Roman" w:hAnsi="Times New Roman" w:cs="Times New Roman"/>
        </w:rPr>
        <w:t>Lohardaga</w:t>
      </w:r>
      <w:proofErr w:type="spellEnd"/>
    </w:p>
    <w:p w14:paraId="309C2305" w14:textId="77777777" w:rsidR="003934E1" w:rsidRDefault="00000000">
      <w:pPr>
        <w:jc w:val="right"/>
        <w:rPr>
          <w:rFonts w:ascii="Times New Roman" w:eastAsia="Times New Roman" w:hAnsi="Times New Roman" w:cs="Times New Roman"/>
        </w:rPr>
      </w:pPr>
      <w:r>
        <w:rPr>
          <w:rFonts w:ascii="Times New Roman" w:eastAsia="Times New Roman" w:hAnsi="Times New Roman" w:cs="Times New Roman"/>
        </w:rPr>
        <w:t>Jharkhand</w:t>
      </w:r>
    </w:p>
    <w:p w14:paraId="70F84EEE" w14:textId="77777777" w:rsidR="003934E1" w:rsidRDefault="00000000">
      <w:pPr>
        <w:jc w:val="right"/>
        <w:rPr>
          <w:rFonts w:ascii="Times New Roman" w:eastAsia="Times New Roman" w:hAnsi="Times New Roman" w:cs="Times New Roman"/>
        </w:rPr>
      </w:pPr>
      <w:r>
        <w:rPr>
          <w:rFonts w:ascii="Times New Roman" w:eastAsia="Times New Roman" w:hAnsi="Times New Roman" w:cs="Times New Roman"/>
        </w:rPr>
        <w:t>Email: rpx777@gmail.com</w:t>
      </w:r>
    </w:p>
    <w:p w14:paraId="00F8F1AF" w14:textId="77777777" w:rsidR="003934E1" w:rsidRDefault="003934E1">
      <w:pPr>
        <w:jc w:val="right"/>
        <w:rPr>
          <w:rFonts w:ascii="Times New Roman" w:eastAsia="Times New Roman" w:hAnsi="Times New Roman" w:cs="Times New Roman"/>
        </w:rPr>
      </w:pPr>
    </w:p>
    <w:p w14:paraId="695C655E"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Edward Said is of the opinion that colonial knowledge is often transmitted into power and utilized in establishing domination and hegemony over the colony.(in Bhukya, 2008:104). Not much to our surprises British colonial studies were directed towards the governance of the colonized. (Skaria, 1997:731)  However, their censuses of 1891, 1911, 1921, and 1931 were unable to demarcate between Hindus and tribes, an important notion in colonial studies. Consequently, many superintendents of censuses without hesitantly remarked that Animism is no different from Hinduism. Edgar Thurston’s </w:t>
      </w:r>
      <w:r>
        <w:rPr>
          <w:rFonts w:ascii="Times New Roman" w:eastAsia="Times New Roman" w:hAnsi="Times New Roman" w:cs="Times New Roman"/>
          <w:i/>
        </w:rPr>
        <w:t>Ethnographic Notes</w:t>
      </w:r>
      <w:r>
        <w:rPr>
          <w:rFonts w:ascii="Times New Roman" w:eastAsia="Times New Roman" w:hAnsi="Times New Roman" w:cs="Times New Roman"/>
        </w:rPr>
        <w:t xml:space="preserve"> had a pernicious effect on the life of </w:t>
      </w:r>
      <w:proofErr w:type="spellStart"/>
      <w:r>
        <w:rPr>
          <w:rFonts w:ascii="Times New Roman" w:eastAsia="Times New Roman" w:hAnsi="Times New Roman" w:cs="Times New Roman"/>
          <w:i/>
        </w:rPr>
        <w:t>adivasis</w:t>
      </w:r>
      <w:proofErr w:type="spellEnd"/>
      <w:r>
        <w:rPr>
          <w:rFonts w:ascii="Times New Roman" w:eastAsia="Times New Roman" w:hAnsi="Times New Roman" w:cs="Times New Roman"/>
        </w:rPr>
        <w:t xml:space="preserve">. His method of anthropometry not only criminalized the </w:t>
      </w:r>
      <w:proofErr w:type="spellStart"/>
      <w:r>
        <w:rPr>
          <w:rFonts w:ascii="Times New Roman" w:eastAsia="Times New Roman" w:hAnsi="Times New Roman" w:cs="Times New Roman"/>
          <w:i/>
        </w:rPr>
        <w:t>adivasis</w:t>
      </w:r>
      <w:proofErr w:type="spellEnd"/>
      <w:r>
        <w:rPr>
          <w:rFonts w:ascii="Times New Roman" w:eastAsia="Times New Roman" w:hAnsi="Times New Roman" w:cs="Times New Roman"/>
        </w:rPr>
        <w:t xml:space="preserve"> but also created a widespread understanding that </w:t>
      </w:r>
      <w:proofErr w:type="spellStart"/>
      <w:r>
        <w:rPr>
          <w:rFonts w:ascii="Times New Roman" w:eastAsia="Times New Roman" w:hAnsi="Times New Roman" w:cs="Times New Roman"/>
          <w:i/>
        </w:rPr>
        <w:t>adivasis</w:t>
      </w:r>
      <w:proofErr w:type="spellEnd"/>
      <w:r>
        <w:rPr>
          <w:rFonts w:ascii="Times New Roman" w:eastAsia="Times New Roman" w:hAnsi="Times New Roman" w:cs="Times New Roman"/>
        </w:rPr>
        <w:t xml:space="preserve"> are primitive and should be ‘</w:t>
      </w:r>
      <w:proofErr w:type="spellStart"/>
      <w:r>
        <w:rPr>
          <w:rFonts w:ascii="Times New Roman" w:eastAsia="Times New Roman" w:hAnsi="Times New Roman" w:cs="Times New Roman"/>
        </w:rPr>
        <w:t>museumised</w:t>
      </w:r>
      <w:proofErr w:type="spellEnd"/>
      <w:r>
        <w:rPr>
          <w:rFonts w:ascii="Times New Roman" w:eastAsia="Times New Roman" w:hAnsi="Times New Roman" w:cs="Times New Roman"/>
        </w:rPr>
        <w:t>’.( Bhukya 2008:106) Post- Colonial anthropological studies were no better than their predecessors. They entered into tribal studies with colonial baggage making assumptions and judgments about the tribes. Their inability to see the tribal society as independent of Hinduism and the caste system resulted in their unanimously agreeing to ‘mainstream-</w:t>
      </w:r>
      <w:proofErr w:type="spellStart"/>
      <w:r>
        <w:rPr>
          <w:rFonts w:ascii="Times New Roman" w:eastAsia="Times New Roman" w:hAnsi="Times New Roman" w:cs="Times New Roman"/>
        </w:rPr>
        <w:t>ing</w:t>
      </w:r>
      <w:proofErr w:type="spellEnd"/>
      <w:r>
        <w:rPr>
          <w:rFonts w:ascii="Times New Roman" w:eastAsia="Times New Roman" w:hAnsi="Times New Roman" w:cs="Times New Roman"/>
        </w:rPr>
        <w:t xml:space="preserve">’ the tribe. (Sinha 1958, </w:t>
      </w:r>
      <w:proofErr w:type="spellStart"/>
      <w:r>
        <w:rPr>
          <w:rFonts w:ascii="Times New Roman" w:eastAsia="Times New Roman" w:hAnsi="Times New Roman" w:cs="Times New Roman"/>
        </w:rPr>
        <w:t>Ghurye</w:t>
      </w:r>
      <w:proofErr w:type="spellEnd"/>
      <w:r>
        <w:rPr>
          <w:rFonts w:ascii="Times New Roman" w:eastAsia="Times New Roman" w:hAnsi="Times New Roman" w:cs="Times New Roman"/>
        </w:rPr>
        <w:t xml:space="preserve"> 1959, M.N. Srinivas 1963, Sandhya Jain 2022). Such studies not only has brought problems in tribal studies, but has created a platform to divert the narrative of </w:t>
      </w:r>
      <w:proofErr w:type="spellStart"/>
      <w:r>
        <w:rPr>
          <w:rFonts w:ascii="Times New Roman" w:eastAsia="Times New Roman" w:hAnsi="Times New Roman" w:cs="Times New Roman"/>
          <w:i/>
        </w:rPr>
        <w:t>adivasis</w:t>
      </w:r>
      <w:proofErr w:type="spellEnd"/>
      <w:r>
        <w:rPr>
          <w:rFonts w:ascii="Times New Roman" w:eastAsia="Times New Roman" w:hAnsi="Times New Roman" w:cs="Times New Roman"/>
        </w:rPr>
        <w:t>.  Therefore, in this paper I intend to expostulate with colonial writers and accentuate the perspective genuine to the tribes. The term ‘</w:t>
      </w:r>
      <w:proofErr w:type="spellStart"/>
      <w:r>
        <w:rPr>
          <w:rFonts w:ascii="Times New Roman" w:eastAsia="Times New Roman" w:hAnsi="Times New Roman" w:cs="Times New Roman"/>
        </w:rPr>
        <w:t>adivasi</w:t>
      </w:r>
      <w:proofErr w:type="spellEnd"/>
      <w:r>
        <w:rPr>
          <w:rFonts w:ascii="Times New Roman" w:eastAsia="Times New Roman" w:hAnsi="Times New Roman" w:cs="Times New Roman"/>
        </w:rPr>
        <w:t>’ is perhaps better situated in terms of self –assertion and identity than the word ‘tribe’. Hence, the usage of the term ‘</w:t>
      </w:r>
      <w:proofErr w:type="spellStart"/>
      <w:r>
        <w:rPr>
          <w:rFonts w:ascii="Times New Roman" w:eastAsia="Times New Roman" w:hAnsi="Times New Roman" w:cs="Times New Roman"/>
          <w:i/>
        </w:rPr>
        <w:t>Adivasiyat</w:t>
      </w:r>
      <w:proofErr w:type="spellEnd"/>
      <w:r>
        <w:rPr>
          <w:rFonts w:ascii="Times New Roman" w:eastAsia="Times New Roman" w:hAnsi="Times New Roman" w:cs="Times New Roman"/>
        </w:rPr>
        <w:t xml:space="preserve">’ as philosophy of </w:t>
      </w:r>
      <w:proofErr w:type="spellStart"/>
      <w:r>
        <w:rPr>
          <w:rFonts w:ascii="Times New Roman" w:eastAsia="Times New Roman" w:hAnsi="Times New Roman" w:cs="Times New Roman"/>
          <w:i/>
        </w:rPr>
        <w:t>adivasis</w:t>
      </w:r>
      <w:proofErr w:type="spellEnd"/>
      <w:r>
        <w:rPr>
          <w:rFonts w:ascii="Times New Roman" w:eastAsia="Times New Roman" w:hAnsi="Times New Roman" w:cs="Times New Roman"/>
        </w:rPr>
        <w:t xml:space="preserve"> shall be an appropriate one. I shall defend that only by such philosophical investigation and conceptual clarifications, the term ‘tribe’ shall be decolonized </w:t>
      </w:r>
      <w:r>
        <w:rPr>
          <w:rFonts w:ascii="Times New Roman" w:eastAsia="Times New Roman" w:hAnsi="Times New Roman" w:cs="Times New Roman"/>
        </w:rPr>
        <w:lastRenderedPageBreak/>
        <w:t>and will consequently lead to the recognition of an independent identity, assertions and existence of the tribes.</w:t>
      </w:r>
    </w:p>
    <w:p w14:paraId="18A9BA18"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Adivasiyat</w:t>
      </w:r>
      <w:proofErr w:type="spellEnd"/>
      <w:r>
        <w:rPr>
          <w:rFonts w:ascii="Times New Roman" w:eastAsia="Times New Roman" w:hAnsi="Times New Roman" w:cs="Times New Roman"/>
        </w:rPr>
        <w:t xml:space="preserve">, Decolonization, </w:t>
      </w:r>
      <w:proofErr w:type="spellStart"/>
      <w:r>
        <w:rPr>
          <w:rFonts w:ascii="Times New Roman" w:eastAsia="Times New Roman" w:hAnsi="Times New Roman" w:cs="Times New Roman"/>
        </w:rPr>
        <w:t>Museumise</w:t>
      </w:r>
      <w:proofErr w:type="spellEnd"/>
      <w:r>
        <w:rPr>
          <w:rFonts w:ascii="Times New Roman" w:eastAsia="Times New Roman" w:hAnsi="Times New Roman" w:cs="Times New Roman"/>
        </w:rPr>
        <w:t>, Self-assertion, Identity, Tribal –axiology.</w:t>
      </w:r>
    </w:p>
    <w:p w14:paraId="4254DBB9" w14:textId="77777777" w:rsidR="003934E1" w:rsidRDefault="003934E1">
      <w:pPr>
        <w:spacing w:after="200" w:line="360" w:lineRule="auto"/>
        <w:jc w:val="both"/>
        <w:rPr>
          <w:rFonts w:ascii="Times New Roman" w:eastAsia="Times New Roman" w:hAnsi="Times New Roman" w:cs="Times New Roman"/>
        </w:rPr>
      </w:pPr>
    </w:p>
    <w:p w14:paraId="4C7E1A1A" w14:textId="77777777" w:rsidR="003934E1" w:rsidRDefault="003934E1">
      <w:pPr>
        <w:spacing w:after="200" w:line="360" w:lineRule="auto"/>
        <w:jc w:val="both"/>
        <w:rPr>
          <w:rFonts w:ascii="Times New Roman" w:eastAsia="Times New Roman" w:hAnsi="Times New Roman" w:cs="Times New Roman"/>
        </w:rPr>
      </w:pPr>
    </w:p>
    <w:p w14:paraId="1CBC45BE" w14:textId="77777777" w:rsidR="003934E1" w:rsidRDefault="00000000">
      <w:pPr>
        <w:spacing w:after="200" w:line="360" w:lineRule="auto"/>
        <w:jc w:val="both"/>
        <w:rPr>
          <w:rFonts w:ascii="Times New Roman" w:eastAsia="Times New Roman" w:hAnsi="Times New Roman" w:cs="Times New Roman"/>
          <w:b/>
        </w:rPr>
      </w:pPr>
      <w:r>
        <w:rPr>
          <w:rFonts w:ascii="Times New Roman" w:eastAsia="Times New Roman" w:hAnsi="Times New Roman" w:cs="Times New Roman"/>
          <w:b/>
        </w:rPr>
        <w:t>Introduction:</w:t>
      </w:r>
    </w:p>
    <w:p w14:paraId="7DCC4BE2"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Perhaps no community in India has been named and renamed as many times as Schedule tribe.  In the effort to understand who the ‘tribe’ is; many terms have been used to describe the group. Categories such as aboriginals, animists, backward Hindus, tribals, </w:t>
      </w:r>
      <w:proofErr w:type="spellStart"/>
      <w:r>
        <w:rPr>
          <w:rFonts w:ascii="Times New Roman" w:eastAsia="Times New Roman" w:hAnsi="Times New Roman" w:cs="Times New Roman"/>
        </w:rPr>
        <w:t>dalit</w:t>
      </w:r>
      <w:proofErr w:type="spellEnd"/>
      <w:r>
        <w:rPr>
          <w:rFonts w:ascii="Times New Roman" w:eastAsia="Times New Roman" w:hAnsi="Times New Roman" w:cs="Times New Roman"/>
        </w:rPr>
        <w:t xml:space="preserve">, indigenous people, </w:t>
      </w:r>
      <w:proofErr w:type="spellStart"/>
      <w:r>
        <w:rPr>
          <w:rFonts w:ascii="Times New Roman" w:eastAsia="Times New Roman" w:hAnsi="Times New Roman" w:cs="Times New Roman"/>
          <w:i/>
        </w:rPr>
        <w:t>vanvasi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janjati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and Scheduled tribe have been frequently employed by British administrators and later by sociologists and anthropologists of Indian origin respectively . (</w:t>
      </w: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xml:space="preserve">, 2008:4).This exercise itself is a testimony that </w:t>
      </w:r>
      <w:proofErr w:type="spellStart"/>
      <w:r>
        <w:rPr>
          <w:rFonts w:ascii="Times New Roman" w:eastAsia="Times New Roman" w:hAnsi="Times New Roman" w:cs="Times New Roman"/>
        </w:rPr>
        <w:t>adivasis</w:t>
      </w:r>
      <w:proofErr w:type="spellEnd"/>
      <w:r>
        <w:rPr>
          <w:rFonts w:ascii="Times New Roman" w:eastAsia="Times New Roman" w:hAnsi="Times New Roman" w:cs="Times New Roman"/>
        </w:rPr>
        <w:t xml:space="preserve"> have been misunderstood and described inaccurately. Not much has been changed for </w:t>
      </w:r>
      <w:proofErr w:type="spellStart"/>
      <w:r>
        <w:rPr>
          <w:rFonts w:ascii="Times New Roman" w:eastAsia="Times New Roman" w:hAnsi="Times New Roman" w:cs="Times New Roman"/>
        </w:rPr>
        <w:t>adivasis</w:t>
      </w:r>
      <w:proofErr w:type="spellEnd"/>
      <w:r>
        <w:rPr>
          <w:rFonts w:ascii="Times New Roman" w:eastAsia="Times New Roman" w:hAnsi="Times New Roman" w:cs="Times New Roman"/>
        </w:rPr>
        <w:t xml:space="preserve"> even after Independence of India. Post –Independence writers have carried forward the imperialistic attitude in their writings. No efforts have been made to delve deep into the worldviews of </w:t>
      </w:r>
      <w:proofErr w:type="spellStart"/>
      <w:r>
        <w:rPr>
          <w:rFonts w:ascii="Times New Roman" w:eastAsia="Times New Roman" w:hAnsi="Times New Roman" w:cs="Times New Roman"/>
        </w:rPr>
        <w:t>adivasis</w:t>
      </w:r>
      <w:proofErr w:type="spellEnd"/>
      <w:r>
        <w:rPr>
          <w:rFonts w:ascii="Times New Roman" w:eastAsia="Times New Roman" w:hAnsi="Times New Roman" w:cs="Times New Roman"/>
        </w:rPr>
        <w:t xml:space="preserve">, understand the cosmic and environmental structure from their point of view. The cultural differences, religious practices and social customs have not been appreciated as they are; rather the religious and cultural appropriation and assimilation have been the main agenda of the dominant. In the writings of Indian anthropologists and sociologists we find how they have tried to impose their ideas on </w:t>
      </w:r>
      <w:proofErr w:type="spellStart"/>
      <w:r>
        <w:rPr>
          <w:rFonts w:ascii="Times New Roman" w:eastAsia="Times New Roman" w:hAnsi="Times New Roman" w:cs="Times New Roman"/>
        </w:rPr>
        <w:t>adivasis</w:t>
      </w:r>
      <w:proofErr w:type="spellEnd"/>
      <w:r>
        <w:rPr>
          <w:rFonts w:ascii="Times New Roman" w:eastAsia="Times New Roman" w:hAnsi="Times New Roman" w:cs="Times New Roman"/>
        </w:rPr>
        <w:t xml:space="preserve"> and argue to the conclusion that every nature worshippers and animists are Hindus (Sinha 1958, </w:t>
      </w:r>
      <w:proofErr w:type="spellStart"/>
      <w:r>
        <w:rPr>
          <w:rFonts w:ascii="Times New Roman" w:eastAsia="Times New Roman" w:hAnsi="Times New Roman" w:cs="Times New Roman"/>
        </w:rPr>
        <w:t>Ghurye</w:t>
      </w:r>
      <w:proofErr w:type="spellEnd"/>
      <w:r>
        <w:rPr>
          <w:rFonts w:ascii="Times New Roman" w:eastAsia="Times New Roman" w:hAnsi="Times New Roman" w:cs="Times New Roman"/>
        </w:rPr>
        <w:t xml:space="preserve"> 1959, M.N. Srinivas 1963, Sandhya Jain 2022). It was an outright denial of the recognition of tribal belief system. The religious code demand of scheduled tribe is still pending. The processes in the name of national integrity are not only </w:t>
      </w:r>
      <w:proofErr w:type="spellStart"/>
      <w:r>
        <w:rPr>
          <w:rFonts w:ascii="Times New Roman" w:eastAsia="Times New Roman" w:hAnsi="Times New Roman" w:cs="Times New Roman"/>
        </w:rPr>
        <w:t>unfavorable</w:t>
      </w:r>
      <w:proofErr w:type="spellEnd"/>
      <w:r>
        <w:rPr>
          <w:rFonts w:ascii="Times New Roman" w:eastAsia="Times New Roman" w:hAnsi="Times New Roman" w:cs="Times New Roman"/>
        </w:rPr>
        <w:t xml:space="preserve"> to </w:t>
      </w:r>
      <w:proofErr w:type="spellStart"/>
      <w:r>
        <w:rPr>
          <w:rFonts w:ascii="Times New Roman" w:eastAsia="Times New Roman" w:hAnsi="Times New Roman" w:cs="Times New Roman"/>
        </w:rPr>
        <w:t>adivasis</w:t>
      </w:r>
      <w:proofErr w:type="spellEnd"/>
      <w:r>
        <w:rPr>
          <w:rFonts w:ascii="Times New Roman" w:eastAsia="Times New Roman" w:hAnsi="Times New Roman" w:cs="Times New Roman"/>
        </w:rPr>
        <w:t xml:space="preserve"> undermining their integrity and distinctiveness but also diluting their history, culture and languages. It is a clear case of cultural colonialism. It is important to note the argument offered by Wendy Rose in the context of indigenous people, “We accept as given that whites have as much prerogative to write and speak about us and our cultures as we have to write and speak about them and theirs. The question is how this is done and . . . why it is done” (1992:415-16). In the same line in India, the intent and the integrity of the writers are in question. The colonization has been continuous from the arrival of non-</w:t>
      </w:r>
      <w:proofErr w:type="spellStart"/>
      <w:r>
        <w:rPr>
          <w:rFonts w:ascii="Times New Roman" w:eastAsia="Times New Roman" w:hAnsi="Times New Roman" w:cs="Times New Roman"/>
        </w:rPr>
        <w:t>adivasis</w:t>
      </w:r>
      <w:proofErr w:type="spellEnd"/>
      <w:r>
        <w:rPr>
          <w:rFonts w:ascii="Times New Roman" w:eastAsia="Times New Roman" w:hAnsi="Times New Roman" w:cs="Times New Roman"/>
        </w:rPr>
        <w:t xml:space="preserve"> in the </w:t>
      </w:r>
      <w:proofErr w:type="spellStart"/>
      <w:r>
        <w:rPr>
          <w:rFonts w:ascii="Times New Roman" w:eastAsia="Times New Roman" w:hAnsi="Times New Roman" w:cs="Times New Roman"/>
        </w:rPr>
        <w:t>adivasi</w:t>
      </w:r>
      <w:proofErr w:type="spellEnd"/>
      <w:r>
        <w:rPr>
          <w:rFonts w:ascii="Times New Roman" w:eastAsia="Times New Roman" w:hAnsi="Times New Roman" w:cs="Times New Roman"/>
        </w:rPr>
        <w:t xml:space="preserve">-land. The pain and helplessness is remarkably visible among the colonized.  Article 19 of the Indian </w:t>
      </w:r>
      <w:r>
        <w:rPr>
          <w:rFonts w:ascii="Times New Roman" w:eastAsia="Times New Roman" w:hAnsi="Times New Roman" w:cs="Times New Roman"/>
        </w:rPr>
        <w:lastRenderedPageBreak/>
        <w:t xml:space="preserve">constitution has been used to shield the colonization taking place post –independence. It is appropriate here to quote Margo Thunderbird to indicate the restlessness and the helplessness of the </w:t>
      </w:r>
      <w:proofErr w:type="spellStart"/>
      <w:r>
        <w:rPr>
          <w:rFonts w:ascii="Times New Roman" w:eastAsia="Times New Roman" w:hAnsi="Times New Roman" w:cs="Times New Roman"/>
        </w:rPr>
        <w:t>adivasis</w:t>
      </w:r>
      <w:proofErr w:type="spellEnd"/>
      <w:r>
        <w:rPr>
          <w:rFonts w:ascii="Times New Roman" w:eastAsia="Times New Roman" w:hAnsi="Times New Roman" w:cs="Times New Roman"/>
        </w:rPr>
        <w:t>, “They came for our land, for what grew or could be grown on it, for the resources in it, and for our clean air and pure water. They stole these things from us . . . and now. . . they’ve come for the very last of our possessions; now they want our pride, our history, our spiritual traditions. They want to rewrite and remake these things, to claim them for themselves</w:t>
      </w:r>
      <w:r>
        <w:rPr>
          <w:rFonts w:ascii="Times New Roman" w:eastAsia="Times New Roman" w:hAnsi="Times New Roman" w:cs="Times New Roman"/>
          <w:b/>
          <w:i/>
        </w:rPr>
        <w:t xml:space="preserve">” </w:t>
      </w:r>
      <w:r>
        <w:rPr>
          <w:rFonts w:ascii="Times New Roman" w:eastAsia="Times New Roman" w:hAnsi="Times New Roman" w:cs="Times New Roman"/>
        </w:rPr>
        <w:t>(</w:t>
      </w:r>
      <w:r>
        <w:rPr>
          <w:rFonts w:ascii="Times New Roman" w:eastAsia="Times New Roman" w:hAnsi="Times New Roman" w:cs="Times New Roman"/>
          <w:i/>
        </w:rPr>
        <w:t>cited</w:t>
      </w:r>
      <w:r>
        <w:rPr>
          <w:rFonts w:ascii="Times New Roman" w:eastAsia="Times New Roman" w:hAnsi="Times New Roman" w:cs="Times New Roman"/>
        </w:rPr>
        <w:t xml:space="preserve"> in Wendy Rose, 1992: 403). Before independence the economic colonization was the intention of the colonizers; today, along with economic colonization, cultural and religious imperialism is at work in </w:t>
      </w:r>
      <w:proofErr w:type="spellStart"/>
      <w:r>
        <w:rPr>
          <w:rFonts w:ascii="Times New Roman" w:eastAsia="Times New Roman" w:hAnsi="Times New Roman" w:cs="Times New Roman"/>
        </w:rPr>
        <w:t>adivasi</w:t>
      </w:r>
      <w:proofErr w:type="spellEnd"/>
      <w:r>
        <w:rPr>
          <w:rFonts w:ascii="Times New Roman" w:eastAsia="Times New Roman" w:hAnsi="Times New Roman" w:cs="Times New Roman"/>
        </w:rPr>
        <w:t xml:space="preserve"> areas. Laurelyn Whitt calls the whole new way of colonization as the ‘neocolonialism’ or ‘</w:t>
      </w:r>
      <w:proofErr w:type="spellStart"/>
      <w:r>
        <w:rPr>
          <w:rFonts w:ascii="Times New Roman" w:eastAsia="Times New Roman" w:hAnsi="Times New Roman" w:cs="Times New Roman"/>
        </w:rPr>
        <w:t>biocolonialism</w:t>
      </w:r>
      <w:proofErr w:type="spellEnd"/>
      <w:r>
        <w:rPr>
          <w:rFonts w:ascii="Times New Roman" w:eastAsia="Times New Roman" w:hAnsi="Times New Roman" w:cs="Times New Roman"/>
        </w:rPr>
        <w:t xml:space="preserve">’, where the dominant employ tactics that serve as “mechanisms of social (religious) control, commodity transaction, exploitation and appropriation” (2009:21) To offer more clarity on the post-independence colonization of the tribes I point out the various elements of colonial states present in </w:t>
      </w:r>
      <w:proofErr w:type="spellStart"/>
      <w:r>
        <w:rPr>
          <w:rFonts w:ascii="Times New Roman" w:eastAsia="Times New Roman" w:hAnsi="Times New Roman" w:cs="Times New Roman"/>
        </w:rPr>
        <w:t>adivasi</w:t>
      </w:r>
      <w:proofErr w:type="spellEnd"/>
      <w:r>
        <w:rPr>
          <w:rFonts w:ascii="Times New Roman" w:eastAsia="Times New Roman" w:hAnsi="Times New Roman" w:cs="Times New Roman"/>
        </w:rPr>
        <w:t xml:space="preserve"> areas-</w:t>
      </w:r>
    </w:p>
    <w:p w14:paraId="21881058" w14:textId="77777777" w:rsidR="003934E1" w:rsidRDefault="00000000">
      <w:pPr>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Environmental degradation includes the destruction of </w:t>
      </w:r>
      <w:proofErr w:type="spellStart"/>
      <w:r>
        <w:rPr>
          <w:rFonts w:ascii="Times New Roman" w:eastAsia="Times New Roman" w:hAnsi="Times New Roman" w:cs="Times New Roman"/>
        </w:rPr>
        <w:t>adivasi</w:t>
      </w:r>
      <w:proofErr w:type="spellEnd"/>
      <w:r>
        <w:rPr>
          <w:rFonts w:ascii="Times New Roman" w:eastAsia="Times New Roman" w:hAnsi="Times New Roman" w:cs="Times New Roman"/>
        </w:rPr>
        <w:t xml:space="preserve"> life style, negating their rights on water, forest and land. </w:t>
      </w:r>
    </w:p>
    <w:p w14:paraId="7BE7C161" w14:textId="77777777" w:rsidR="003934E1" w:rsidRDefault="00000000">
      <w:pPr>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Due to the globalization and industrialization in </w:t>
      </w:r>
      <w:proofErr w:type="spellStart"/>
      <w:r>
        <w:rPr>
          <w:rFonts w:ascii="Times New Roman" w:eastAsia="Times New Roman" w:hAnsi="Times New Roman" w:cs="Times New Roman"/>
        </w:rPr>
        <w:t>adivasi</w:t>
      </w:r>
      <w:proofErr w:type="spellEnd"/>
      <w:r>
        <w:rPr>
          <w:rFonts w:ascii="Times New Roman" w:eastAsia="Times New Roman" w:hAnsi="Times New Roman" w:cs="Times New Roman"/>
        </w:rPr>
        <w:t xml:space="preserve"> areas, making compromise on their health and well-being. Undermining their physical and spiritual well –being.</w:t>
      </w:r>
    </w:p>
    <w:p w14:paraId="04F29609" w14:textId="77777777" w:rsidR="003934E1" w:rsidRDefault="00000000">
      <w:pPr>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the veil of law and policies, there is dismantling of social, economic and legal structures in </w:t>
      </w:r>
      <w:proofErr w:type="spellStart"/>
      <w:r>
        <w:rPr>
          <w:rFonts w:ascii="Times New Roman" w:eastAsia="Times New Roman" w:hAnsi="Times New Roman" w:cs="Times New Roman"/>
        </w:rPr>
        <w:t>adivasi</w:t>
      </w:r>
      <w:proofErr w:type="spellEnd"/>
      <w:r>
        <w:rPr>
          <w:rFonts w:ascii="Times New Roman" w:eastAsia="Times New Roman" w:hAnsi="Times New Roman" w:cs="Times New Roman"/>
        </w:rPr>
        <w:t xml:space="preserve"> areas.    </w:t>
      </w:r>
    </w:p>
    <w:p w14:paraId="69728B0B" w14:textId="77777777" w:rsidR="003934E1" w:rsidRDefault="00000000">
      <w:pPr>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implementation of modern education system has in </w:t>
      </w:r>
      <w:proofErr w:type="spellStart"/>
      <w:r>
        <w:rPr>
          <w:rFonts w:ascii="Times New Roman" w:eastAsia="Times New Roman" w:hAnsi="Times New Roman" w:cs="Times New Roman"/>
        </w:rPr>
        <w:t>adivasi</w:t>
      </w:r>
      <w:proofErr w:type="spellEnd"/>
      <w:r>
        <w:rPr>
          <w:rFonts w:ascii="Times New Roman" w:eastAsia="Times New Roman" w:hAnsi="Times New Roman" w:cs="Times New Roman"/>
        </w:rPr>
        <w:t xml:space="preserve"> areas has eroded their indigenous epistemology, languages and value systems.</w:t>
      </w:r>
    </w:p>
    <w:p w14:paraId="6A4D128A" w14:textId="77777777" w:rsidR="003934E1" w:rsidRDefault="00000000">
      <w:pPr>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cultural and religious encroachment in their belief system has become palpable threat to their self-expression and identity. </w:t>
      </w:r>
    </w:p>
    <w:p w14:paraId="29CD2767" w14:textId="77777777" w:rsidR="003934E1" w:rsidRDefault="00000000">
      <w:pPr>
        <w:numPr>
          <w:ilvl w:val="0"/>
          <w:numId w:val="7"/>
        </w:numPr>
        <w:spacing w:line="360" w:lineRule="auto"/>
        <w:jc w:val="both"/>
        <w:rPr>
          <w:rFonts w:ascii="Times New Roman" w:eastAsia="Times New Roman" w:hAnsi="Times New Roman" w:cs="Times New Roman"/>
        </w:rPr>
      </w:pPr>
      <w:r>
        <w:rPr>
          <w:rFonts w:ascii="Times New Roman" w:eastAsia="Times New Roman" w:hAnsi="Times New Roman" w:cs="Times New Roman"/>
        </w:rPr>
        <w:t>Slow degradation of the idea of ‘Unity in diversity’ has resulted in the idea of ‘</w:t>
      </w:r>
      <w:proofErr w:type="spellStart"/>
      <w:r>
        <w:rPr>
          <w:rFonts w:ascii="Times New Roman" w:eastAsia="Times New Roman" w:hAnsi="Times New Roman" w:cs="Times New Roman"/>
        </w:rPr>
        <w:t>ghar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wapsi</w:t>
      </w:r>
      <w:proofErr w:type="spellEnd"/>
      <w:r>
        <w:rPr>
          <w:rFonts w:ascii="Times New Roman" w:eastAsia="Times New Roman" w:hAnsi="Times New Roman" w:cs="Times New Roman"/>
        </w:rPr>
        <w:t xml:space="preserve">’ where dominant always consider itself as ‘home’, not vice versa. </w:t>
      </w:r>
    </w:p>
    <w:p w14:paraId="3E6D6A24" w14:textId="77777777" w:rsidR="003934E1" w:rsidRDefault="003934E1">
      <w:pPr>
        <w:spacing w:line="360" w:lineRule="auto"/>
        <w:jc w:val="both"/>
        <w:rPr>
          <w:rFonts w:ascii="Times New Roman" w:eastAsia="Times New Roman" w:hAnsi="Times New Roman" w:cs="Times New Roman"/>
        </w:rPr>
      </w:pPr>
    </w:p>
    <w:p w14:paraId="068DCB1C"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Thus, it may be concluded that colonialism is a reality witnessed by tribes all over. The talk of equality and justice enshrined in our constitution become a farce in the face of colonial experiences of </w:t>
      </w:r>
      <w:proofErr w:type="spellStart"/>
      <w:r>
        <w:rPr>
          <w:rFonts w:ascii="Times New Roman" w:eastAsia="Times New Roman" w:hAnsi="Times New Roman" w:cs="Times New Roman"/>
        </w:rPr>
        <w:t>adivasis</w:t>
      </w:r>
      <w:proofErr w:type="spellEnd"/>
      <w:r>
        <w:rPr>
          <w:rFonts w:ascii="Times New Roman" w:eastAsia="Times New Roman" w:hAnsi="Times New Roman" w:cs="Times New Roman"/>
        </w:rPr>
        <w:t xml:space="preserve">. </w:t>
      </w:r>
    </w:p>
    <w:p w14:paraId="08B5B775" w14:textId="77777777" w:rsidR="003934E1" w:rsidRDefault="003934E1">
      <w:pPr>
        <w:spacing w:line="360" w:lineRule="auto"/>
        <w:jc w:val="both"/>
        <w:rPr>
          <w:rFonts w:ascii="Times New Roman" w:eastAsia="Times New Roman" w:hAnsi="Times New Roman" w:cs="Times New Roman"/>
        </w:rPr>
      </w:pPr>
    </w:p>
    <w:p w14:paraId="3E4BC584" w14:textId="77777777" w:rsidR="003934E1"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Decolonization of the tribes</w:t>
      </w:r>
    </w:p>
    <w:p w14:paraId="7BE533C3"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Perhaps the first attempt to decolonize the tribe was the introduction of a new category viz. ‘Adivasi’ in 1920s by the politically conscious group of tribals from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reagion</w:t>
      </w:r>
      <w:proofErr w:type="spellEnd"/>
      <w:r>
        <w:rPr>
          <w:rFonts w:ascii="Times New Roman" w:eastAsia="Times New Roman" w:hAnsi="Times New Roman" w:cs="Times New Roman"/>
        </w:rPr>
        <w:t xml:space="preserve">. The </w:t>
      </w:r>
      <w:r>
        <w:rPr>
          <w:rFonts w:ascii="Times New Roman" w:eastAsia="Times New Roman" w:hAnsi="Times New Roman" w:cs="Times New Roman"/>
        </w:rPr>
        <w:lastRenderedPageBreak/>
        <w:t>word is a combination of two Hindi terms ‘</w:t>
      </w:r>
      <w:proofErr w:type="spellStart"/>
      <w:r>
        <w:rPr>
          <w:rFonts w:ascii="Times New Roman" w:eastAsia="Times New Roman" w:hAnsi="Times New Roman" w:cs="Times New Roman"/>
        </w:rPr>
        <w:t>adi</w:t>
      </w:r>
      <w:proofErr w:type="spellEnd"/>
      <w:r>
        <w:rPr>
          <w:rFonts w:ascii="Times New Roman" w:eastAsia="Times New Roman" w:hAnsi="Times New Roman" w:cs="Times New Roman"/>
        </w:rPr>
        <w:t>’ and ‘</w:t>
      </w:r>
      <w:proofErr w:type="spellStart"/>
      <w:r>
        <w:rPr>
          <w:rFonts w:ascii="Times New Roman" w:eastAsia="Times New Roman" w:hAnsi="Times New Roman" w:cs="Times New Roman"/>
        </w:rPr>
        <w:t>vasi</w:t>
      </w:r>
      <w:proofErr w:type="spellEnd"/>
      <w:r>
        <w:rPr>
          <w:rFonts w:ascii="Times New Roman" w:eastAsia="Times New Roman" w:hAnsi="Times New Roman" w:cs="Times New Roman"/>
        </w:rPr>
        <w:t xml:space="preserve">’ meaning ‘from the beginning’ and ‘resident of’. (Hardiman in Rachel </w:t>
      </w:r>
      <w:proofErr w:type="spellStart"/>
      <w:r>
        <w:rPr>
          <w:rFonts w:ascii="Times New Roman" w:eastAsia="Times New Roman" w:hAnsi="Times New Roman" w:cs="Times New Roman"/>
        </w:rPr>
        <w:t>Dawyer</w:t>
      </w:r>
      <w:proofErr w:type="spellEnd"/>
      <w:r>
        <w:rPr>
          <w:rFonts w:ascii="Times New Roman" w:eastAsia="Times New Roman" w:hAnsi="Times New Roman" w:cs="Times New Roman"/>
        </w:rPr>
        <w:t xml:space="preserve"> et al, 2015:4) The word conveys a meaning, a voice of the colonized for a positive assertion of identity and ownership to the territory.  It was for the first time the power and the right to define themselves was exercised by the tribals themselves. It was a milestone in the whole process of decolonization.  The term ‘</w:t>
      </w:r>
      <w:proofErr w:type="spellStart"/>
      <w:r>
        <w:rPr>
          <w:rFonts w:ascii="Times New Roman" w:eastAsia="Times New Roman" w:hAnsi="Times New Roman" w:cs="Times New Roman"/>
        </w:rPr>
        <w:t>adivasi</w:t>
      </w:r>
      <w:proofErr w:type="spellEnd"/>
      <w:r>
        <w:rPr>
          <w:rFonts w:ascii="Times New Roman" w:eastAsia="Times New Roman" w:hAnsi="Times New Roman" w:cs="Times New Roman"/>
        </w:rPr>
        <w:t xml:space="preserve">’ is philosophically a rich term, carrying with a whole bunch of worldviews of the tribe. </w:t>
      </w:r>
    </w:p>
    <w:p w14:paraId="22FFC5BD" w14:textId="77777777" w:rsidR="003934E1" w:rsidRDefault="003934E1">
      <w:pPr>
        <w:spacing w:line="360" w:lineRule="auto"/>
        <w:jc w:val="both"/>
        <w:rPr>
          <w:rFonts w:ascii="Times New Roman" w:eastAsia="Times New Roman" w:hAnsi="Times New Roman" w:cs="Times New Roman"/>
        </w:rPr>
      </w:pPr>
    </w:p>
    <w:p w14:paraId="4951ADEA" w14:textId="77777777" w:rsidR="003934E1" w:rsidRDefault="00000000">
      <w:pPr>
        <w:spacing w:line="360" w:lineRule="auto"/>
        <w:jc w:val="both"/>
        <w:rPr>
          <w:rFonts w:ascii="Times New Roman" w:eastAsia="Times New Roman" w:hAnsi="Times New Roman" w:cs="Times New Roman"/>
          <w:b/>
        </w:rPr>
      </w:pPr>
      <w:proofErr w:type="spellStart"/>
      <w:r>
        <w:rPr>
          <w:rFonts w:ascii="Times New Roman" w:eastAsia="Times New Roman" w:hAnsi="Times New Roman" w:cs="Times New Roman"/>
          <w:b/>
          <w:i/>
        </w:rPr>
        <w:t>Adivasiyat</w:t>
      </w:r>
      <w:proofErr w:type="spellEnd"/>
      <w:r>
        <w:rPr>
          <w:rFonts w:ascii="Times New Roman" w:eastAsia="Times New Roman" w:hAnsi="Times New Roman" w:cs="Times New Roman"/>
          <w:b/>
        </w:rPr>
        <w:t>:  A tool to decolonize the tribe</w:t>
      </w:r>
    </w:p>
    <w:p w14:paraId="5D89C412"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Colonial Studies were used extensively in the governance of the colonized (Skaria,1997:731). Post- colonial writers have not been able to decolonize literature particularly those relating to </w:t>
      </w:r>
      <w:proofErr w:type="spellStart"/>
      <w:r>
        <w:rPr>
          <w:rFonts w:ascii="Times New Roman" w:eastAsia="Times New Roman" w:hAnsi="Times New Roman" w:cs="Times New Roman"/>
          <w:i/>
        </w:rPr>
        <w:t>adivasis</w:t>
      </w:r>
      <w:proofErr w:type="spellEnd"/>
      <w:r>
        <w:rPr>
          <w:rFonts w:ascii="Times New Roman" w:eastAsia="Times New Roman" w:hAnsi="Times New Roman" w:cs="Times New Roman"/>
        </w:rPr>
        <w:t xml:space="preserve"> society. The imminent threat that is lurking at present is the process of Hindu colonization of </w:t>
      </w:r>
      <w:proofErr w:type="spellStart"/>
      <w:r>
        <w:rPr>
          <w:rFonts w:ascii="Times New Roman" w:eastAsia="Times New Roman" w:hAnsi="Times New Roman" w:cs="Times New Roman"/>
          <w:i/>
        </w:rPr>
        <w:t>adivasis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sepecially</w:t>
      </w:r>
      <w:proofErr w:type="spellEnd"/>
      <w:r>
        <w:rPr>
          <w:rFonts w:ascii="Times New Roman" w:eastAsia="Times New Roman" w:hAnsi="Times New Roman" w:cs="Times New Roman"/>
        </w:rPr>
        <w:t xml:space="preserve"> in India (</w:t>
      </w: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xml:space="preserve">, 1999a:1521, Pinky Hota, 2024:88-116). If the </w:t>
      </w:r>
      <w:proofErr w:type="spellStart"/>
      <w:r>
        <w:rPr>
          <w:rFonts w:ascii="Times New Roman" w:eastAsia="Times New Roman" w:hAnsi="Times New Roman" w:cs="Times New Roman"/>
          <w:i/>
        </w:rPr>
        <w:t>adivasiya</w:t>
      </w:r>
      <w:r>
        <w:rPr>
          <w:rFonts w:ascii="Times New Roman" w:eastAsia="Times New Roman" w:hAnsi="Times New Roman" w:cs="Times New Roman"/>
        </w:rPr>
        <w:t>t</w:t>
      </w:r>
      <w:proofErr w:type="spellEnd"/>
      <w:r>
        <w:rPr>
          <w:rFonts w:ascii="Times New Roman" w:eastAsia="Times New Roman" w:hAnsi="Times New Roman" w:cs="Times New Roman"/>
        </w:rPr>
        <w:t xml:space="preserve"> – the essence of being an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 is not discussed in academia, perhaps in coming few decades there shall be no </w:t>
      </w:r>
      <w:proofErr w:type="spellStart"/>
      <w:r>
        <w:rPr>
          <w:rFonts w:ascii="Times New Roman" w:eastAsia="Times New Roman" w:hAnsi="Times New Roman" w:cs="Times New Roman"/>
        </w:rPr>
        <w:t>adivasi</w:t>
      </w:r>
      <w:proofErr w:type="spellEnd"/>
      <w:r>
        <w:rPr>
          <w:rFonts w:ascii="Times New Roman" w:eastAsia="Times New Roman" w:hAnsi="Times New Roman" w:cs="Times New Roman"/>
        </w:rPr>
        <w:t xml:space="preserve"> in the original sense. The burden of decolonizing the concept primarily rests with the community which is being colonized. And it is possible only if they have insightfulness about the community they belong to. Perhaps it is time to define and describe the term rather than identify, categorize and ‘</w:t>
      </w:r>
      <w:proofErr w:type="spellStart"/>
      <w:r>
        <w:rPr>
          <w:rFonts w:ascii="Times New Roman" w:eastAsia="Times New Roman" w:hAnsi="Times New Roman" w:cs="Times New Roman"/>
        </w:rPr>
        <w:t>schedulize</w:t>
      </w:r>
      <w:proofErr w:type="spellEnd"/>
      <w:r>
        <w:rPr>
          <w:rFonts w:ascii="Times New Roman" w:eastAsia="Times New Roman" w:hAnsi="Times New Roman" w:cs="Times New Roman"/>
        </w:rPr>
        <w:t xml:space="preserve">’. In this process of the decolonization of the term, it is pertinent to use extensively the term adopted by the community themselves.(Hardiman, 2015:4, Prasad, 2022:41).  </w:t>
      </w:r>
      <w:proofErr w:type="spellStart"/>
      <w:r>
        <w:rPr>
          <w:rFonts w:ascii="Times New Roman" w:eastAsia="Times New Roman" w:hAnsi="Times New Roman" w:cs="Times New Roman"/>
        </w:rPr>
        <w:t>Bhangya</w:t>
      </w:r>
      <w:proofErr w:type="spellEnd"/>
      <w:r>
        <w:rPr>
          <w:rFonts w:ascii="Times New Roman" w:eastAsia="Times New Roman" w:hAnsi="Times New Roman" w:cs="Times New Roman"/>
        </w:rPr>
        <w:t xml:space="preserve"> Bhukya adopts the term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as the category that come closest to the capturing of essence (2008). </w:t>
      </w:r>
      <w:proofErr w:type="spellStart"/>
      <w:r>
        <w:rPr>
          <w:rFonts w:ascii="Times New Roman" w:eastAsia="Times New Roman" w:hAnsi="Times New Roman" w:cs="Times New Roman"/>
        </w:rPr>
        <w:t>Virginus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xml:space="preserve"> has no qualms about the usage of the term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(1999b).</w:t>
      </w:r>
    </w:p>
    <w:p w14:paraId="0933CD1F"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legitimacy behind the usage is the rich philosophy, an outlook that makes an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distinct from others. This outlook conceptualized as </w:t>
      </w:r>
      <w:proofErr w:type="spellStart"/>
      <w:r>
        <w:rPr>
          <w:rFonts w:ascii="Times New Roman" w:eastAsia="Times New Roman" w:hAnsi="Times New Roman" w:cs="Times New Roman"/>
          <w:i/>
        </w:rPr>
        <w:t>adivasiyat</w:t>
      </w:r>
      <w:proofErr w:type="spellEnd"/>
      <w:r>
        <w:rPr>
          <w:rFonts w:ascii="Times New Roman" w:eastAsia="Times New Roman" w:hAnsi="Times New Roman" w:cs="Times New Roman"/>
        </w:rPr>
        <w:t xml:space="preserve"> is natural, embedded in the totemic root of an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By asserting this fact it is understood that </w:t>
      </w:r>
      <w:proofErr w:type="spellStart"/>
      <w:r>
        <w:rPr>
          <w:rFonts w:ascii="Times New Roman" w:eastAsia="Times New Roman" w:hAnsi="Times New Roman" w:cs="Times New Roman"/>
          <w:i/>
        </w:rPr>
        <w:t>adivasiyat</w:t>
      </w:r>
      <w:proofErr w:type="spellEnd"/>
      <w:r>
        <w:rPr>
          <w:rFonts w:ascii="Times New Roman" w:eastAsia="Times New Roman" w:hAnsi="Times New Roman" w:cs="Times New Roman"/>
        </w:rPr>
        <w:t xml:space="preserve"> is an ancestral legacy, deeply rooted in the land, nature and ancestors. Three important metaphysical realities envisage the existence of an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 Universe, Spirits and Persons. The universe is immanent as well as transcendental at the same time. The transcendency is neither superior nor superficial. It is an existence at a different terrain, yet invisibly close to immanency. The reality of the universe at both spheres is asserted and equally affirmed. The immanent universe is filled with diverse multi-realities without hierarchy. De Castro lucidly explains the idea when he says that the tribal world is fully human. What he means is, that this universe is a “world of immanent humanity where primordial assumes human form unlike non-tribal world that experiences the primordial as bare transcendence and pure anti-anthropic alterity as the non-constructed and non-instituted opposed to all custom and discourse.(2014:62) The immanent </w:t>
      </w:r>
      <w:r>
        <w:rPr>
          <w:rFonts w:ascii="Times New Roman" w:eastAsia="Times New Roman" w:hAnsi="Times New Roman" w:cs="Times New Roman"/>
        </w:rPr>
        <w:lastRenderedPageBreak/>
        <w:t xml:space="preserve">universe is never negated as in Hindu concept of Maya. The reality of human existence is necessarily connected to the land and nature.  Nirmal Minz is of the view that “personhood of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is rooted in their concept of land” (as quoted in Kujur, 2001:18). This highly philosophical assertion gives us a hint on the importance of land for an </w:t>
      </w:r>
      <w:proofErr w:type="spellStart"/>
      <w:r>
        <w:rPr>
          <w:rFonts w:ascii="Times New Roman" w:eastAsia="Times New Roman" w:hAnsi="Times New Roman" w:cs="Times New Roman"/>
        </w:rPr>
        <w:t>adivasi</w:t>
      </w:r>
      <w:proofErr w:type="spellEnd"/>
      <w:r>
        <w:rPr>
          <w:rFonts w:ascii="Times New Roman" w:eastAsia="Times New Roman" w:hAnsi="Times New Roman" w:cs="Times New Roman"/>
        </w:rPr>
        <w:t xml:space="preserve">. This is where the </w:t>
      </w:r>
      <w:proofErr w:type="spellStart"/>
      <w:r>
        <w:rPr>
          <w:rFonts w:ascii="Times New Roman" w:eastAsia="Times New Roman" w:hAnsi="Times New Roman" w:cs="Times New Roman"/>
          <w:i/>
        </w:rPr>
        <w:t>adivasis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i/>
        </w:rPr>
        <w:t>dalits</w:t>
      </w:r>
      <w:proofErr w:type="spellEnd"/>
      <w:r>
        <w:rPr>
          <w:rFonts w:ascii="Times New Roman" w:eastAsia="Times New Roman" w:hAnsi="Times New Roman" w:cs="Times New Roman"/>
        </w:rPr>
        <w:t xml:space="preserve"> differ from each other in their struggle for emancipation. Land for an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is the cultural and existential issue. Here, land does not mean a piece of land but the presence of intra-terrestrial realities. The autonomy has intersectional relation with land, cultural practices and existence. And therefore displacement of an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cannot be ever compensated. The main characteristics of </w:t>
      </w:r>
      <w:proofErr w:type="spellStart"/>
      <w:r>
        <w:rPr>
          <w:rFonts w:ascii="Times New Roman" w:eastAsia="Times New Roman" w:hAnsi="Times New Roman" w:cs="Times New Roman"/>
          <w:i/>
        </w:rPr>
        <w:t>adivasiyat</w:t>
      </w:r>
      <w:proofErr w:type="spellEnd"/>
      <w:r>
        <w:rPr>
          <w:rFonts w:ascii="Times New Roman" w:eastAsia="Times New Roman" w:hAnsi="Times New Roman" w:cs="Times New Roman"/>
        </w:rPr>
        <w:t xml:space="preserve"> are closeness to nature, community based life-style, and practicality of the life. </w:t>
      </w:r>
    </w:p>
    <w:p w14:paraId="2350C4ED" w14:textId="77777777" w:rsidR="003934E1" w:rsidRDefault="00000000">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Adivasiyat</w:t>
      </w:r>
      <w:proofErr w:type="spellEnd"/>
      <w:r>
        <w:rPr>
          <w:rFonts w:ascii="Times New Roman" w:eastAsia="Times New Roman" w:hAnsi="Times New Roman" w:cs="Times New Roman"/>
        </w:rPr>
        <w:t xml:space="preserve"> as a lifestyle is </w:t>
      </w:r>
      <w:proofErr w:type="spellStart"/>
      <w:r>
        <w:rPr>
          <w:rFonts w:ascii="Times New Roman" w:eastAsia="Times New Roman" w:hAnsi="Times New Roman" w:cs="Times New Roman"/>
        </w:rPr>
        <w:t>modeled</w:t>
      </w:r>
      <w:proofErr w:type="spellEnd"/>
      <w:r>
        <w:rPr>
          <w:rFonts w:ascii="Times New Roman" w:eastAsia="Times New Roman" w:hAnsi="Times New Roman" w:cs="Times New Roman"/>
        </w:rPr>
        <w:t xml:space="preserve"> on the interconnections between Nature, Spirits and Persons. There is an acceptance of God but reverence is always offered to ancestral spirits. Spirits personified in nature become the symbols of reverence. Worship is alien to them. </w:t>
      </w:r>
      <w:proofErr w:type="spellStart"/>
      <w:r>
        <w:rPr>
          <w:rFonts w:ascii="Times New Roman" w:eastAsia="Times New Roman" w:hAnsi="Times New Roman" w:cs="Times New Roman"/>
          <w:i/>
        </w:rPr>
        <w:t>Adivasiyat</w:t>
      </w:r>
      <w:proofErr w:type="spellEnd"/>
      <w:r>
        <w:rPr>
          <w:rFonts w:ascii="Times New Roman" w:eastAsia="Times New Roman" w:hAnsi="Times New Roman" w:cs="Times New Roman"/>
        </w:rPr>
        <w:t xml:space="preserve"> is about praxis. The result of such reverence is non-exploitation of natural resources. The wisdom passed down from generation after generation is preserved only through practice. It is only in the humanistic ethical value of communitarianism </w:t>
      </w:r>
      <w:proofErr w:type="spellStart"/>
      <w:r>
        <w:rPr>
          <w:rFonts w:ascii="Times New Roman" w:eastAsia="Times New Roman" w:hAnsi="Times New Roman" w:cs="Times New Roman"/>
          <w:i/>
        </w:rPr>
        <w:t>adivasis</w:t>
      </w:r>
      <w:proofErr w:type="spellEnd"/>
      <w:r>
        <w:rPr>
          <w:rFonts w:ascii="Times New Roman" w:eastAsia="Times New Roman" w:hAnsi="Times New Roman" w:cs="Times New Roman"/>
        </w:rPr>
        <w:t xml:space="preserve"> realize their completeness. </w:t>
      </w:r>
      <w:proofErr w:type="spellStart"/>
      <w:r>
        <w:rPr>
          <w:rFonts w:ascii="Times New Roman" w:eastAsia="Times New Roman" w:hAnsi="Times New Roman" w:cs="Times New Roman"/>
        </w:rPr>
        <w:t>Ramdayal</w:t>
      </w:r>
      <w:proofErr w:type="spellEnd"/>
      <w:r>
        <w:rPr>
          <w:rFonts w:ascii="Times New Roman" w:eastAsia="Times New Roman" w:hAnsi="Times New Roman" w:cs="Times New Roman"/>
        </w:rPr>
        <w:t xml:space="preserve"> Munda et al. (2009) state that an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does not believe in the idea of heaven and hell. For them, separation from the community, an individualistic lifestyle is punishment as in hell.  The consequences of the communitarian life style are a strong bond of kinship, non-hoarding of materials and altruism. The idea of altruism is also intimately connected with their sense of space and time. The reading of ‘shyness’ among </w:t>
      </w:r>
      <w:proofErr w:type="spellStart"/>
      <w:r>
        <w:rPr>
          <w:rFonts w:ascii="Times New Roman" w:eastAsia="Times New Roman" w:hAnsi="Times New Roman" w:cs="Times New Roman"/>
        </w:rPr>
        <w:t>adivasis</w:t>
      </w:r>
      <w:proofErr w:type="spellEnd"/>
      <w:r>
        <w:rPr>
          <w:rFonts w:ascii="Times New Roman" w:eastAsia="Times New Roman" w:hAnsi="Times New Roman" w:cs="Times New Roman"/>
        </w:rPr>
        <w:t xml:space="preserve"> by non-</w:t>
      </w:r>
      <w:proofErr w:type="spellStart"/>
      <w:r>
        <w:rPr>
          <w:rFonts w:ascii="Times New Roman" w:eastAsia="Times New Roman" w:hAnsi="Times New Roman" w:cs="Times New Roman"/>
        </w:rPr>
        <w:t>adivasi</w:t>
      </w:r>
      <w:proofErr w:type="spellEnd"/>
      <w:r>
        <w:rPr>
          <w:rFonts w:ascii="Times New Roman" w:eastAsia="Times New Roman" w:hAnsi="Times New Roman" w:cs="Times New Roman"/>
        </w:rPr>
        <w:t xml:space="preserve"> writers is a misreading. </w:t>
      </w:r>
      <w:r>
        <w:rPr>
          <w:rFonts w:ascii="Times New Roman" w:eastAsia="Times New Roman" w:hAnsi="Times New Roman" w:cs="Times New Roman"/>
          <w:i/>
        </w:rPr>
        <w:t>Adivasis</w:t>
      </w:r>
      <w:r>
        <w:rPr>
          <w:rFonts w:ascii="Times New Roman" w:eastAsia="Times New Roman" w:hAnsi="Times New Roman" w:cs="Times New Roman"/>
        </w:rPr>
        <w:t xml:space="preserve"> are not shy; it is only that they have not recognized the public spaces and time as theirs. In </w:t>
      </w:r>
      <w:proofErr w:type="spellStart"/>
      <w:r>
        <w:rPr>
          <w:rFonts w:ascii="Times New Roman" w:eastAsia="Times New Roman" w:hAnsi="Times New Roman" w:cs="Times New Roman"/>
          <w:i/>
        </w:rPr>
        <w:t>akhra</w:t>
      </w:r>
      <w:proofErr w:type="spellEnd"/>
      <w:r>
        <w:rPr>
          <w:rFonts w:ascii="Times New Roman" w:eastAsia="Times New Roman" w:hAnsi="Times New Roman" w:cs="Times New Roman"/>
        </w:rPr>
        <w:t xml:space="preserve">, in places where they have legitimacy, there is no ‘shyness’. </w:t>
      </w:r>
    </w:p>
    <w:p w14:paraId="6C9F8772"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idea of </w:t>
      </w:r>
      <w:proofErr w:type="spellStart"/>
      <w:r>
        <w:rPr>
          <w:rFonts w:ascii="Times New Roman" w:eastAsia="Times New Roman" w:hAnsi="Times New Roman" w:cs="Times New Roman"/>
          <w:i/>
        </w:rPr>
        <w:t>adivasiyat</w:t>
      </w:r>
      <w:proofErr w:type="spellEnd"/>
      <w:r>
        <w:rPr>
          <w:rFonts w:ascii="Times New Roman" w:eastAsia="Times New Roman" w:hAnsi="Times New Roman" w:cs="Times New Roman"/>
        </w:rPr>
        <w:t xml:space="preserve"> is based on the philosophical ground. Therefore, it is essential to categorize </w:t>
      </w:r>
      <w:proofErr w:type="spellStart"/>
      <w:r>
        <w:rPr>
          <w:rFonts w:ascii="Times New Roman" w:eastAsia="Times New Roman" w:hAnsi="Times New Roman" w:cs="Times New Roman"/>
          <w:i/>
        </w:rPr>
        <w:t>adivasis</w:t>
      </w:r>
      <w:proofErr w:type="spellEnd"/>
      <w:r>
        <w:rPr>
          <w:rFonts w:ascii="Times New Roman" w:eastAsia="Times New Roman" w:hAnsi="Times New Roman" w:cs="Times New Roman"/>
        </w:rPr>
        <w:t xml:space="preserve">, if necessary, on their philosophy and other denominators used. The title of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cannot be conferred unlike the title of ‘schedule tribe’. If ever we try to understand an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and their </w:t>
      </w:r>
      <w:proofErr w:type="spellStart"/>
      <w:r>
        <w:rPr>
          <w:rFonts w:ascii="Times New Roman" w:eastAsia="Times New Roman" w:hAnsi="Times New Roman" w:cs="Times New Roman"/>
          <w:i/>
        </w:rPr>
        <w:t>adivasiyat</w:t>
      </w:r>
      <w:proofErr w:type="spellEnd"/>
      <w:r>
        <w:rPr>
          <w:rFonts w:ascii="Times New Roman" w:eastAsia="Times New Roman" w:hAnsi="Times New Roman" w:cs="Times New Roman"/>
        </w:rPr>
        <w:t xml:space="preserve"> we must treat them as community and not as a caste. (</w:t>
      </w: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xml:space="preserve">, 2008:26) In the rise of demand for inclusion in the Scheduled tribe list by many caste groups, it is important to realize that a Scheduled tribe is not necessarily an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community.  The category of scheduled tribe is politically decided, but the status of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is ancestral inheritance. Individuals can opt out into any other religious or social categories but their ancestral legacy cannot be removed.  An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is therefore, defined by their philosophy – </w:t>
      </w:r>
      <w:proofErr w:type="spellStart"/>
      <w:r>
        <w:rPr>
          <w:rFonts w:ascii="Times New Roman" w:eastAsia="Times New Roman" w:hAnsi="Times New Roman" w:cs="Times New Roman"/>
          <w:i/>
        </w:rPr>
        <w:t>Adivasiyat</w:t>
      </w:r>
      <w:proofErr w:type="spellEnd"/>
      <w:r>
        <w:rPr>
          <w:rFonts w:ascii="Times New Roman" w:eastAsia="Times New Roman" w:hAnsi="Times New Roman" w:cs="Times New Roman"/>
          <w:i/>
        </w:rPr>
        <w:t xml:space="preserve"> –  </w:t>
      </w:r>
      <w:r>
        <w:rPr>
          <w:rFonts w:ascii="Times New Roman" w:eastAsia="Times New Roman" w:hAnsi="Times New Roman" w:cs="Times New Roman"/>
        </w:rPr>
        <w:t xml:space="preserve"> a practical dynamic worldview that revolves around nature, spirits and persons. </w:t>
      </w:r>
      <w:r>
        <w:rPr>
          <w:rFonts w:ascii="Times New Roman" w:eastAsia="Times New Roman" w:hAnsi="Times New Roman" w:cs="Times New Roman"/>
        </w:rPr>
        <w:lastRenderedPageBreak/>
        <w:t xml:space="preserve">And it must be agreed that the rights and respects of the </w:t>
      </w:r>
      <w:proofErr w:type="spellStart"/>
      <w:r>
        <w:rPr>
          <w:rFonts w:ascii="Times New Roman" w:eastAsia="Times New Roman" w:hAnsi="Times New Roman" w:cs="Times New Roman"/>
        </w:rPr>
        <w:t>adivasis</w:t>
      </w:r>
      <w:proofErr w:type="spellEnd"/>
      <w:r>
        <w:rPr>
          <w:rFonts w:ascii="Times New Roman" w:eastAsia="Times New Roman" w:hAnsi="Times New Roman" w:cs="Times New Roman"/>
        </w:rPr>
        <w:t xml:space="preserve"> must be upheld in the sense of not imposing different kinds of terms on them but accept what they have cherished for long. </w:t>
      </w:r>
    </w:p>
    <w:p w14:paraId="3F1C07F7" w14:textId="77777777" w:rsidR="003934E1" w:rsidRDefault="003934E1">
      <w:pPr>
        <w:spacing w:line="360" w:lineRule="auto"/>
        <w:jc w:val="both"/>
        <w:rPr>
          <w:rFonts w:ascii="Times New Roman" w:eastAsia="Times New Roman" w:hAnsi="Times New Roman" w:cs="Times New Roman"/>
        </w:rPr>
      </w:pPr>
    </w:p>
    <w:p w14:paraId="316A699F"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t>Conclusion</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Adivasiyat</w:t>
      </w:r>
      <w:proofErr w:type="spellEnd"/>
      <w:r>
        <w:rPr>
          <w:rFonts w:ascii="Times New Roman" w:eastAsia="Times New Roman" w:hAnsi="Times New Roman" w:cs="Times New Roman"/>
        </w:rPr>
        <w:t xml:space="preserve"> has not only empowered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people to revolt and resist their colonizers in the past but also has brought them self-identity and recognition. In an era of freedom and self – assertion, the debate over decolonizing the knowledge and concepts, has assisted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writers to correct the past misconceptions and misinformation about their existence and philosophy.  Here, when we discuss </w:t>
      </w:r>
      <w:proofErr w:type="spellStart"/>
      <w:r>
        <w:rPr>
          <w:rFonts w:ascii="Times New Roman" w:eastAsia="Times New Roman" w:hAnsi="Times New Roman" w:cs="Times New Roman"/>
          <w:i/>
        </w:rPr>
        <w:t>adivasiyat</w:t>
      </w:r>
      <w:proofErr w:type="spellEnd"/>
      <w:r>
        <w:rPr>
          <w:rFonts w:ascii="Times New Roman" w:eastAsia="Times New Roman" w:hAnsi="Times New Roman" w:cs="Times New Roman"/>
        </w:rPr>
        <w:t xml:space="preserve"> as fundamental to define and understand </w:t>
      </w:r>
      <w:proofErr w:type="spellStart"/>
      <w:r>
        <w:rPr>
          <w:rFonts w:ascii="Times New Roman" w:eastAsia="Times New Roman" w:hAnsi="Times New Roman" w:cs="Times New Roman"/>
          <w:i/>
        </w:rPr>
        <w:t>adivasis</w:t>
      </w:r>
      <w:proofErr w:type="spellEnd"/>
      <w:r>
        <w:rPr>
          <w:rFonts w:ascii="Times New Roman" w:eastAsia="Times New Roman" w:hAnsi="Times New Roman" w:cs="Times New Roman"/>
        </w:rPr>
        <w:t xml:space="preserve">, many misunderstandings in academia can be resolved.  </w:t>
      </w:r>
      <w:r>
        <w:rPr>
          <w:rFonts w:ascii="Times New Roman" w:eastAsia="Times New Roman" w:hAnsi="Times New Roman" w:cs="Times New Roman"/>
          <w:i/>
        </w:rPr>
        <w:t>Adivasi</w:t>
      </w:r>
      <w:r>
        <w:rPr>
          <w:rFonts w:ascii="Times New Roman" w:eastAsia="Times New Roman" w:hAnsi="Times New Roman" w:cs="Times New Roman"/>
        </w:rPr>
        <w:t xml:space="preserve"> Philosophy (</w:t>
      </w:r>
      <w:proofErr w:type="spellStart"/>
      <w:r>
        <w:rPr>
          <w:rFonts w:ascii="Times New Roman" w:eastAsia="Times New Roman" w:hAnsi="Times New Roman" w:cs="Times New Roman"/>
          <w:i/>
        </w:rPr>
        <w:t>Adivasiyat</w:t>
      </w:r>
      <w:proofErr w:type="spellEnd"/>
      <w:r>
        <w:rPr>
          <w:rFonts w:ascii="Times New Roman" w:eastAsia="Times New Roman" w:hAnsi="Times New Roman" w:cs="Times New Roman"/>
        </w:rPr>
        <w:t xml:space="preserve">) is about direct human involvement with the Universe. In its myriads of interconnections and intra-connections with nature and environment, multi-realism is an undoubtable truth.  In </w:t>
      </w:r>
      <w:proofErr w:type="spellStart"/>
      <w:r>
        <w:rPr>
          <w:rFonts w:ascii="Times New Roman" w:eastAsia="Times New Roman" w:hAnsi="Times New Roman" w:cs="Times New Roman"/>
          <w:i/>
        </w:rPr>
        <w:t>Adivasiyat</w:t>
      </w:r>
      <w:proofErr w:type="spellEnd"/>
      <w:r>
        <w:rPr>
          <w:rFonts w:ascii="Times New Roman" w:eastAsia="Times New Roman" w:hAnsi="Times New Roman" w:cs="Times New Roman"/>
        </w:rPr>
        <w:t xml:space="preserve"> reason becomes an equal partner with emotion in the betterment of nature, spirits and persons. In this chaotic and highly competitive world, it has the wisdom to bring harmony, peace and well-being of people around the world. By advocating such a philosophy, an effort has been made to offer an alternative philosophy that perhaps has ancient wisdom, an imminent solution to global warming and probably a safe future to our coming generations. The very fact of recognition of </w:t>
      </w:r>
      <w:proofErr w:type="spellStart"/>
      <w:r>
        <w:rPr>
          <w:rFonts w:ascii="Times New Roman" w:eastAsia="Times New Roman" w:hAnsi="Times New Roman" w:cs="Times New Roman"/>
          <w:i/>
        </w:rPr>
        <w:t>adivasis</w:t>
      </w:r>
      <w:proofErr w:type="spellEnd"/>
      <w:r>
        <w:rPr>
          <w:rFonts w:ascii="Times New Roman" w:eastAsia="Times New Roman" w:hAnsi="Times New Roman" w:cs="Times New Roman"/>
        </w:rPr>
        <w:t xml:space="preserve"> philosophy in the academic discourses, I believe is half the battle won. The term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even though borrowed from Sanskrit and therefore, has a colonial touch, it is apt to convey message of historicity, legacy, ownership and assertions. Historically, </w:t>
      </w:r>
      <w:proofErr w:type="spellStart"/>
      <w:r>
        <w:rPr>
          <w:rFonts w:ascii="Times New Roman" w:eastAsia="Times New Roman" w:hAnsi="Times New Roman" w:cs="Times New Roman"/>
          <w:i/>
        </w:rPr>
        <w:t>adivasis</w:t>
      </w:r>
      <w:proofErr w:type="spellEnd"/>
      <w:r>
        <w:rPr>
          <w:rFonts w:ascii="Times New Roman" w:eastAsia="Times New Roman" w:hAnsi="Times New Roman" w:cs="Times New Roman"/>
        </w:rPr>
        <w:t xml:space="preserve"> are the first settlers of the land and claim their basic rights on the basis of such ancestry.   The term enthuses </w:t>
      </w:r>
      <w:proofErr w:type="spellStart"/>
      <w:r>
        <w:rPr>
          <w:rFonts w:ascii="Times New Roman" w:eastAsia="Times New Roman" w:hAnsi="Times New Roman" w:cs="Times New Roman"/>
          <w:i/>
        </w:rPr>
        <w:t>adivasis</w:t>
      </w:r>
      <w:proofErr w:type="spellEnd"/>
      <w:r>
        <w:rPr>
          <w:rFonts w:ascii="Times New Roman" w:eastAsia="Times New Roman" w:hAnsi="Times New Roman" w:cs="Times New Roman"/>
        </w:rPr>
        <w:t xml:space="preserve"> of their belongingness to the land, nature and the landscape, whereas, any other term does not carry the same sense and meaning. Therefore, in the process of correcting the misconceptions about </w:t>
      </w:r>
      <w:proofErr w:type="spellStart"/>
      <w:r>
        <w:rPr>
          <w:rFonts w:ascii="Times New Roman" w:eastAsia="Times New Roman" w:hAnsi="Times New Roman" w:cs="Times New Roman"/>
          <w:i/>
        </w:rPr>
        <w:t>adivasis</w:t>
      </w:r>
      <w:proofErr w:type="spellEnd"/>
      <w:r>
        <w:rPr>
          <w:rFonts w:ascii="Times New Roman" w:eastAsia="Times New Roman" w:hAnsi="Times New Roman" w:cs="Times New Roman"/>
        </w:rPr>
        <w:t xml:space="preserve"> the first step has been to decolonize the very term that has created a lot of contestations and misinformation. The term </w:t>
      </w:r>
      <w:r>
        <w:rPr>
          <w:rFonts w:ascii="Times New Roman" w:eastAsia="Times New Roman" w:hAnsi="Times New Roman" w:cs="Times New Roman"/>
          <w:i/>
        </w:rPr>
        <w:t>‘</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i/>
        </w:rPr>
        <w:t>’</w:t>
      </w:r>
      <w:r>
        <w:rPr>
          <w:rFonts w:ascii="Times New Roman" w:eastAsia="Times New Roman" w:hAnsi="Times New Roman" w:cs="Times New Roman"/>
        </w:rPr>
        <w:t xml:space="preserve"> with its deep meaning and aspirations of the people, I believe, shall pave way for academic engagement with better representations of reality and </w:t>
      </w:r>
      <w:proofErr w:type="spellStart"/>
      <w:r>
        <w:rPr>
          <w:rFonts w:ascii="Times New Roman" w:eastAsia="Times New Roman" w:hAnsi="Times New Roman" w:cs="Times New Roman"/>
          <w:i/>
        </w:rPr>
        <w:t>adivasi</w:t>
      </w:r>
      <w:proofErr w:type="spellEnd"/>
      <w:r>
        <w:rPr>
          <w:rFonts w:ascii="Times New Roman" w:eastAsia="Times New Roman" w:hAnsi="Times New Roman" w:cs="Times New Roman"/>
        </w:rPr>
        <w:t xml:space="preserve"> society.</w:t>
      </w:r>
    </w:p>
    <w:p w14:paraId="5A62B8E6" w14:textId="77777777" w:rsidR="003934E1" w:rsidRDefault="003934E1">
      <w:pPr>
        <w:spacing w:line="360" w:lineRule="auto"/>
        <w:jc w:val="both"/>
        <w:rPr>
          <w:rFonts w:ascii="Times New Roman" w:eastAsia="Times New Roman" w:hAnsi="Times New Roman" w:cs="Times New Roman"/>
        </w:rPr>
      </w:pPr>
    </w:p>
    <w:p w14:paraId="185C3BFB" w14:textId="77777777" w:rsidR="003934E1"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References:</w:t>
      </w:r>
    </w:p>
    <w:p w14:paraId="2575B94B" w14:textId="77777777" w:rsidR="003934E1" w:rsidRDefault="003934E1">
      <w:pPr>
        <w:spacing w:line="360" w:lineRule="auto"/>
        <w:jc w:val="both"/>
        <w:rPr>
          <w:rFonts w:ascii="Times New Roman" w:eastAsia="Times New Roman" w:hAnsi="Times New Roman" w:cs="Times New Roman"/>
        </w:rPr>
      </w:pPr>
    </w:p>
    <w:p w14:paraId="3052330F" w14:textId="77777777" w:rsidR="003934E1" w:rsidRDefault="00000000">
      <w:pPr>
        <w:numPr>
          <w:ilvl w:val="0"/>
          <w:numId w:val="9"/>
        </w:numPr>
        <w:spacing w:line="276" w:lineRule="auto"/>
        <w:rPr>
          <w:rFonts w:ascii="Times New Roman" w:eastAsia="Times New Roman" w:hAnsi="Times New Roman" w:cs="Times New Roman"/>
        </w:rPr>
      </w:pPr>
      <w:r>
        <w:rPr>
          <w:rFonts w:ascii="Times New Roman" w:eastAsia="Times New Roman" w:hAnsi="Times New Roman" w:cs="Times New Roman"/>
        </w:rPr>
        <w:t xml:space="preserve">Bhukya, B. (2008), ‘The Mapping of the Adivasi Social: Colonial Anthropology and Adivasi’, </w:t>
      </w:r>
      <w:r>
        <w:rPr>
          <w:rFonts w:ascii="Times New Roman" w:eastAsia="Times New Roman" w:hAnsi="Times New Roman" w:cs="Times New Roman"/>
          <w:i/>
        </w:rPr>
        <w:t>Economic and Political Weekly</w:t>
      </w:r>
      <w:r>
        <w:rPr>
          <w:rFonts w:ascii="Times New Roman" w:eastAsia="Times New Roman" w:hAnsi="Times New Roman" w:cs="Times New Roman"/>
        </w:rPr>
        <w:t>, 43(39):103-109.</w:t>
      </w:r>
    </w:p>
    <w:p w14:paraId="5C7DA4DC" w14:textId="77777777" w:rsidR="003934E1" w:rsidRDefault="00000000">
      <w:pPr>
        <w:numPr>
          <w:ilvl w:val="0"/>
          <w:numId w:val="9"/>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DeCastro, E. V. (2014), </w:t>
      </w:r>
      <w:r>
        <w:rPr>
          <w:rFonts w:ascii="Times New Roman" w:eastAsia="Times New Roman" w:hAnsi="Times New Roman" w:cs="Times New Roman"/>
          <w:i/>
        </w:rPr>
        <w:t>Cannibal Metaphysics</w:t>
      </w:r>
      <w:r>
        <w:rPr>
          <w:rFonts w:ascii="Times New Roman" w:eastAsia="Times New Roman" w:hAnsi="Times New Roman" w:cs="Times New Roman"/>
        </w:rPr>
        <w:t xml:space="preserve">, </w:t>
      </w:r>
      <w:proofErr w:type="spellStart"/>
      <w:r>
        <w:rPr>
          <w:rFonts w:ascii="Times New Roman" w:eastAsia="Times New Roman" w:hAnsi="Times New Roman" w:cs="Times New Roman"/>
        </w:rPr>
        <w:t>trns</w:t>
      </w:r>
      <w:proofErr w:type="spellEnd"/>
      <w:r>
        <w:rPr>
          <w:rFonts w:ascii="Times New Roman" w:eastAsia="Times New Roman" w:hAnsi="Times New Roman" w:cs="Times New Roman"/>
        </w:rPr>
        <w:t xml:space="preserve">. Peter </w:t>
      </w:r>
      <w:proofErr w:type="spellStart"/>
      <w:r>
        <w:rPr>
          <w:rFonts w:ascii="Times New Roman" w:eastAsia="Times New Roman" w:hAnsi="Times New Roman" w:cs="Times New Roman"/>
        </w:rPr>
        <w:t>Skafish</w:t>
      </w:r>
      <w:proofErr w:type="spellEnd"/>
      <w:r>
        <w:rPr>
          <w:rFonts w:ascii="Times New Roman" w:eastAsia="Times New Roman" w:hAnsi="Times New Roman" w:cs="Times New Roman"/>
        </w:rPr>
        <w:t>, Minneapolis: Univocal Publishing.</w:t>
      </w:r>
    </w:p>
    <w:p w14:paraId="5B2A60AA" w14:textId="77777777" w:rsidR="003934E1" w:rsidRDefault="00000000">
      <w:pPr>
        <w:numPr>
          <w:ilvl w:val="0"/>
          <w:numId w:val="9"/>
        </w:numPr>
        <w:spacing w:line="276" w:lineRule="auto"/>
        <w:rPr>
          <w:rFonts w:ascii="Times New Roman" w:eastAsia="Times New Roman" w:hAnsi="Times New Roman" w:cs="Times New Roman"/>
        </w:rPr>
      </w:pPr>
      <w:proofErr w:type="spellStart"/>
      <w:r>
        <w:rPr>
          <w:rFonts w:ascii="Times New Roman" w:eastAsia="Times New Roman" w:hAnsi="Times New Roman" w:cs="Times New Roman"/>
        </w:rPr>
        <w:lastRenderedPageBreak/>
        <w:t>Ghurye</w:t>
      </w:r>
      <w:proofErr w:type="spellEnd"/>
      <w:r>
        <w:rPr>
          <w:rFonts w:ascii="Times New Roman" w:eastAsia="Times New Roman" w:hAnsi="Times New Roman" w:cs="Times New Roman"/>
        </w:rPr>
        <w:t xml:space="preserve">, G. S. (1959), </w:t>
      </w:r>
      <w:r>
        <w:rPr>
          <w:rFonts w:ascii="Times New Roman" w:eastAsia="Times New Roman" w:hAnsi="Times New Roman" w:cs="Times New Roman"/>
          <w:i/>
        </w:rPr>
        <w:t>The Scheduled Tribes</w:t>
      </w:r>
      <w:r>
        <w:rPr>
          <w:rFonts w:ascii="Times New Roman" w:eastAsia="Times New Roman" w:hAnsi="Times New Roman" w:cs="Times New Roman"/>
        </w:rPr>
        <w:t xml:space="preserve">, Bombay: Popular Book Depot. </w:t>
      </w:r>
    </w:p>
    <w:p w14:paraId="03CB444F" w14:textId="77777777" w:rsidR="003934E1" w:rsidRDefault="003934E1">
      <w:pPr>
        <w:spacing w:line="276" w:lineRule="auto"/>
        <w:rPr>
          <w:rFonts w:ascii="Times New Roman" w:eastAsia="Times New Roman" w:hAnsi="Times New Roman" w:cs="Times New Roman"/>
        </w:rPr>
      </w:pPr>
    </w:p>
    <w:p w14:paraId="2808496A" w14:textId="77777777" w:rsidR="003934E1" w:rsidRDefault="00000000">
      <w:pPr>
        <w:numPr>
          <w:ilvl w:val="0"/>
          <w:numId w:val="9"/>
        </w:numPr>
        <w:spacing w:line="360" w:lineRule="auto"/>
        <w:jc w:val="both"/>
        <w:rPr>
          <w:rFonts w:ascii="Times New Roman" w:eastAsia="Times New Roman" w:hAnsi="Times New Roman" w:cs="Times New Roman"/>
          <w:i/>
        </w:rPr>
      </w:pPr>
      <w:r>
        <w:rPr>
          <w:rFonts w:ascii="Times New Roman" w:eastAsia="Times New Roman" w:hAnsi="Times New Roman" w:cs="Times New Roman"/>
        </w:rPr>
        <w:t>Hardiman, D. (1987),</w:t>
      </w:r>
      <w:r>
        <w:rPr>
          <w:rFonts w:ascii="Times New Roman" w:eastAsia="Times New Roman" w:hAnsi="Times New Roman" w:cs="Times New Roman"/>
          <w:i/>
        </w:rPr>
        <w:t xml:space="preserve"> The Coming of the Devi: The Adivasi Assertion in Western India</w:t>
      </w:r>
      <w:r>
        <w:rPr>
          <w:rFonts w:ascii="Times New Roman" w:eastAsia="Times New Roman" w:hAnsi="Times New Roman" w:cs="Times New Roman"/>
        </w:rPr>
        <w:t>,   Delhi: Oxford University Press.</w:t>
      </w:r>
    </w:p>
    <w:p w14:paraId="60F5429E" w14:textId="77777777" w:rsidR="003934E1" w:rsidRDefault="00000000">
      <w:pPr>
        <w:numPr>
          <w:ilvl w:val="0"/>
          <w:numId w:val="9"/>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Hardiman, D. (2015), ‘Adivasi’, in G. Dharampal-Frick, M. Kirloskar-Steinbach, R. </w:t>
      </w:r>
      <w:proofErr w:type="spellStart"/>
      <w:r>
        <w:rPr>
          <w:rFonts w:ascii="Times New Roman" w:eastAsia="Times New Roman" w:hAnsi="Times New Roman" w:cs="Times New Roman"/>
        </w:rPr>
        <w:t>Dawyer</w:t>
      </w:r>
      <w:proofErr w:type="spellEnd"/>
      <w:r>
        <w:rPr>
          <w:rFonts w:ascii="Times New Roman" w:eastAsia="Times New Roman" w:hAnsi="Times New Roman" w:cs="Times New Roman"/>
        </w:rPr>
        <w:t xml:space="preserve">, and J. </w:t>
      </w:r>
      <w:proofErr w:type="spellStart"/>
      <w:r>
        <w:rPr>
          <w:rFonts w:ascii="Times New Roman" w:eastAsia="Times New Roman" w:hAnsi="Times New Roman" w:cs="Times New Roman"/>
        </w:rPr>
        <w:t>Phalkey</w:t>
      </w:r>
      <w:proofErr w:type="spellEnd"/>
      <w:r>
        <w:rPr>
          <w:rFonts w:ascii="Times New Roman" w:eastAsia="Times New Roman" w:hAnsi="Times New Roman" w:cs="Times New Roman"/>
        </w:rPr>
        <w:t xml:space="preserve"> (eds.), </w:t>
      </w:r>
      <w:r>
        <w:rPr>
          <w:rFonts w:ascii="Times New Roman" w:eastAsia="Times New Roman" w:hAnsi="Times New Roman" w:cs="Times New Roman"/>
          <w:i/>
        </w:rPr>
        <w:t>Key Concepts in Modern Indian Studies</w:t>
      </w:r>
      <w:r>
        <w:rPr>
          <w:rFonts w:ascii="Times New Roman" w:eastAsia="Times New Roman" w:hAnsi="Times New Roman" w:cs="Times New Roman"/>
        </w:rPr>
        <w:t xml:space="preserve">, 3-4, New York: New York University Press. </w:t>
      </w:r>
    </w:p>
    <w:p w14:paraId="3C09A2CE" w14:textId="77777777" w:rsidR="003934E1" w:rsidRDefault="00000000">
      <w:pPr>
        <w:numPr>
          <w:ilvl w:val="0"/>
          <w:numId w:val="9"/>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Jain, S. (2022), </w:t>
      </w:r>
      <w:r>
        <w:rPr>
          <w:rFonts w:ascii="Times New Roman" w:eastAsia="Times New Roman" w:hAnsi="Times New Roman" w:cs="Times New Roman"/>
          <w:i/>
        </w:rPr>
        <w:t>Adi Deo Arya Devata</w:t>
      </w:r>
      <w:r>
        <w:rPr>
          <w:rFonts w:ascii="Times New Roman" w:eastAsia="Times New Roman" w:hAnsi="Times New Roman" w:cs="Times New Roman"/>
        </w:rPr>
        <w:t>, Chennai: Notion Press Media.</w:t>
      </w:r>
    </w:p>
    <w:p w14:paraId="58B798E5" w14:textId="77777777" w:rsidR="003934E1" w:rsidRDefault="00000000">
      <w:pPr>
        <w:numPr>
          <w:ilvl w:val="0"/>
          <w:numId w:val="9"/>
        </w:num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Kujur, J.M. (2001), ‘Human Longing and Fulfilment: An Adivasi Perspective’, </w:t>
      </w:r>
      <w:r>
        <w:rPr>
          <w:rFonts w:ascii="Times New Roman" w:eastAsia="Times New Roman" w:hAnsi="Times New Roman" w:cs="Times New Roman"/>
          <w:i/>
        </w:rPr>
        <w:t xml:space="preserve">Disputatio </w:t>
      </w:r>
      <w:proofErr w:type="spellStart"/>
      <w:r>
        <w:rPr>
          <w:rFonts w:ascii="Times New Roman" w:eastAsia="Times New Roman" w:hAnsi="Times New Roman" w:cs="Times New Roman"/>
          <w:i/>
        </w:rPr>
        <w:t>Philosophica</w:t>
      </w:r>
      <w:proofErr w:type="spellEnd"/>
      <w:r>
        <w:rPr>
          <w:rFonts w:ascii="Times New Roman" w:eastAsia="Times New Roman" w:hAnsi="Times New Roman" w:cs="Times New Roman"/>
        </w:rPr>
        <w:t xml:space="preserve"> , 3 (1):13-29.</w:t>
      </w:r>
    </w:p>
    <w:p w14:paraId="16715DCA" w14:textId="77777777" w:rsidR="003934E1" w:rsidRDefault="00000000">
      <w:pPr>
        <w:numPr>
          <w:ilvl w:val="0"/>
          <w:numId w:val="9"/>
        </w:numPr>
        <w:spacing w:line="360" w:lineRule="auto"/>
        <w:rPr>
          <w:rFonts w:ascii="Times New Roman" w:eastAsia="Times New Roman" w:hAnsi="Times New Roman" w:cs="Times New Roman"/>
        </w:rPr>
      </w:pPr>
      <w:r>
        <w:rPr>
          <w:rFonts w:ascii="Times New Roman" w:eastAsia="Times New Roman" w:hAnsi="Times New Roman" w:cs="Times New Roman"/>
        </w:rPr>
        <w:t>Laurelyn Whitt (2009) Science, Colonialism and Indigenous Peoples.  Delhi: Cambridge University Press.</w:t>
      </w:r>
    </w:p>
    <w:p w14:paraId="1627C4A2" w14:textId="77777777" w:rsidR="003934E1" w:rsidRDefault="00000000">
      <w:pPr>
        <w:numPr>
          <w:ilvl w:val="0"/>
          <w:numId w:val="9"/>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Prasad, A. (2022), ‘Contested </w:t>
      </w:r>
      <w:proofErr w:type="spellStart"/>
      <w:r>
        <w:rPr>
          <w:rFonts w:ascii="Times New Roman" w:eastAsia="Times New Roman" w:hAnsi="Times New Roman" w:cs="Times New Roman"/>
        </w:rPr>
        <w:t>Indigeneities</w:t>
      </w:r>
      <w:proofErr w:type="spellEnd"/>
      <w:r>
        <w:rPr>
          <w:rFonts w:ascii="Times New Roman" w:eastAsia="Times New Roman" w:hAnsi="Times New Roman" w:cs="Times New Roman"/>
        </w:rPr>
        <w:t xml:space="preserve">: “Adivasi” Politics Historically and in Contemporary Times’,  </w:t>
      </w:r>
      <w:r>
        <w:rPr>
          <w:rFonts w:ascii="Times New Roman" w:eastAsia="Times New Roman" w:hAnsi="Times New Roman" w:cs="Times New Roman"/>
          <w:i/>
        </w:rPr>
        <w:t>Agrarian  South Journal of Political Economy</w:t>
      </w:r>
      <w:r>
        <w:rPr>
          <w:rFonts w:ascii="Times New Roman" w:eastAsia="Times New Roman" w:hAnsi="Times New Roman" w:cs="Times New Roman"/>
        </w:rPr>
        <w:t>, 11(1):37-61.</w:t>
      </w:r>
    </w:p>
    <w:p w14:paraId="0EAF41D0" w14:textId="77777777" w:rsidR="003934E1" w:rsidRDefault="00000000">
      <w:pPr>
        <w:numPr>
          <w:ilvl w:val="0"/>
          <w:numId w:val="9"/>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Rana, L.N. (1992), ‘The Adivasi Mahasabha (1938-1949) : Launching Pad of Jharkhand Movement’, </w:t>
      </w:r>
      <w:r>
        <w:rPr>
          <w:rFonts w:ascii="Times New Roman" w:eastAsia="Times New Roman" w:hAnsi="Times New Roman" w:cs="Times New Roman"/>
          <w:i/>
        </w:rPr>
        <w:t>Proceedings of the Indian History Congress</w:t>
      </w:r>
      <w:r>
        <w:rPr>
          <w:rFonts w:ascii="Times New Roman" w:eastAsia="Times New Roman" w:hAnsi="Times New Roman" w:cs="Times New Roman"/>
        </w:rPr>
        <w:t>, 53:397-405.</w:t>
      </w:r>
    </w:p>
    <w:p w14:paraId="747C7C8F" w14:textId="77777777" w:rsidR="003934E1" w:rsidRDefault="00000000">
      <w:pPr>
        <w:numPr>
          <w:ilvl w:val="0"/>
          <w:numId w:val="9"/>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Rana, L.N (1996), ‘Political Consciousness in Jharkhand, 1900-1947’, </w:t>
      </w:r>
      <w:r>
        <w:rPr>
          <w:rFonts w:ascii="Times New Roman" w:eastAsia="Times New Roman" w:hAnsi="Times New Roman" w:cs="Times New Roman"/>
          <w:i/>
        </w:rPr>
        <w:t>Proceedings of the Indian History Congress</w:t>
      </w:r>
      <w:r>
        <w:rPr>
          <w:rFonts w:ascii="Times New Roman" w:eastAsia="Times New Roman" w:hAnsi="Times New Roman" w:cs="Times New Roman"/>
        </w:rPr>
        <w:t>, 57:467-484.</w:t>
      </w:r>
    </w:p>
    <w:p w14:paraId="66C37C66" w14:textId="77777777" w:rsidR="003934E1" w:rsidRDefault="00000000">
      <w:pPr>
        <w:numPr>
          <w:ilvl w:val="0"/>
          <w:numId w:val="9"/>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Schendel, W.V. (2011), ‘The Dangers of Belonging’, in D. J. Rycroft and S. Dasgupta (eds.), </w:t>
      </w:r>
      <w:r>
        <w:rPr>
          <w:rFonts w:ascii="Times New Roman" w:eastAsia="Times New Roman" w:hAnsi="Times New Roman" w:cs="Times New Roman"/>
          <w:i/>
        </w:rPr>
        <w:t>The Politics of Belonging in India: Becoming Adivasi</w:t>
      </w:r>
      <w:r>
        <w:rPr>
          <w:rFonts w:ascii="Times New Roman" w:eastAsia="Times New Roman" w:hAnsi="Times New Roman" w:cs="Times New Roman"/>
        </w:rPr>
        <w:t>, 19-43. London: Routledge.</w:t>
      </w:r>
    </w:p>
    <w:p w14:paraId="74883808" w14:textId="77777777" w:rsidR="003934E1" w:rsidRDefault="00000000">
      <w:pPr>
        <w:numPr>
          <w:ilvl w:val="0"/>
          <w:numId w:val="9"/>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Sen, A. K. (2018), </w:t>
      </w:r>
      <w:r>
        <w:rPr>
          <w:rFonts w:ascii="Times New Roman" w:eastAsia="Times New Roman" w:hAnsi="Times New Roman" w:cs="Times New Roman"/>
          <w:i/>
        </w:rPr>
        <w:t xml:space="preserve">Indigeneity, Landscape and History – Adivasi </w:t>
      </w:r>
      <w:proofErr w:type="spellStart"/>
      <w:r>
        <w:rPr>
          <w:rFonts w:ascii="Times New Roman" w:eastAsia="Times New Roman" w:hAnsi="Times New Roman" w:cs="Times New Roman"/>
          <w:i/>
        </w:rPr>
        <w:t>self fashioning</w:t>
      </w:r>
      <w:proofErr w:type="spellEnd"/>
      <w:r>
        <w:rPr>
          <w:rFonts w:ascii="Times New Roman" w:eastAsia="Times New Roman" w:hAnsi="Times New Roman" w:cs="Times New Roman"/>
          <w:i/>
        </w:rPr>
        <w:t xml:space="preserve"> in India</w:t>
      </w:r>
      <w:r>
        <w:rPr>
          <w:rFonts w:ascii="Times New Roman" w:eastAsia="Times New Roman" w:hAnsi="Times New Roman" w:cs="Times New Roman"/>
        </w:rPr>
        <w:t>. New York: Routledge.</w:t>
      </w:r>
    </w:p>
    <w:p w14:paraId="28DA8916" w14:textId="77777777" w:rsidR="003934E1" w:rsidRDefault="00000000">
      <w:pPr>
        <w:numPr>
          <w:ilvl w:val="0"/>
          <w:numId w:val="9"/>
        </w:numPr>
        <w:spacing w:line="276" w:lineRule="auto"/>
        <w:rPr>
          <w:rFonts w:ascii="Times New Roman" w:eastAsia="Times New Roman" w:hAnsi="Times New Roman" w:cs="Times New Roman"/>
        </w:rPr>
      </w:pPr>
      <w:r>
        <w:rPr>
          <w:rFonts w:ascii="Times New Roman" w:eastAsia="Times New Roman" w:hAnsi="Times New Roman" w:cs="Times New Roman"/>
        </w:rPr>
        <w:t xml:space="preserve">Skaria, A. (1997) ‘Shades of Wildness: Tribe, Caste and Gender in Western India’, </w:t>
      </w:r>
      <w:r>
        <w:rPr>
          <w:rFonts w:ascii="Times New Roman" w:eastAsia="Times New Roman" w:hAnsi="Times New Roman" w:cs="Times New Roman"/>
          <w:i/>
        </w:rPr>
        <w:t>Journal of Asian Studies,</w:t>
      </w:r>
      <w:r>
        <w:rPr>
          <w:rFonts w:ascii="Times New Roman" w:eastAsia="Times New Roman" w:hAnsi="Times New Roman" w:cs="Times New Roman"/>
        </w:rPr>
        <w:t xml:space="preserve"> 56(3):726–45.</w:t>
      </w:r>
    </w:p>
    <w:p w14:paraId="62C9E655" w14:textId="77777777" w:rsidR="003934E1" w:rsidRDefault="00000000">
      <w:pPr>
        <w:numPr>
          <w:ilvl w:val="0"/>
          <w:numId w:val="9"/>
        </w:numPr>
        <w:spacing w:line="360" w:lineRule="auto"/>
        <w:jc w:val="both"/>
        <w:rPr>
          <w:rFonts w:ascii="Times New Roman" w:eastAsia="Times New Roman" w:hAnsi="Times New Roman" w:cs="Times New Roman"/>
          <w:b/>
          <w:i/>
        </w:rPr>
      </w:pPr>
      <w:r>
        <w:rPr>
          <w:rFonts w:ascii="Times New Roman" w:eastAsia="Times New Roman" w:hAnsi="Times New Roman" w:cs="Times New Roman"/>
        </w:rPr>
        <w:t xml:space="preserve">Wendy Rose, “The Great Pretenders,” in M. Annette Jaimes (ed.), </w:t>
      </w:r>
      <w:r>
        <w:rPr>
          <w:rFonts w:ascii="Times New Roman" w:eastAsia="Times New Roman" w:hAnsi="Times New Roman" w:cs="Times New Roman"/>
          <w:i/>
        </w:rPr>
        <w:t xml:space="preserve">The State of Native America </w:t>
      </w:r>
      <w:r>
        <w:rPr>
          <w:rFonts w:ascii="Times New Roman" w:eastAsia="Times New Roman" w:hAnsi="Times New Roman" w:cs="Times New Roman"/>
        </w:rPr>
        <w:t>(Boston, Massachusetts: South End Press, 1992): 415–16.</w:t>
      </w:r>
    </w:p>
    <w:p w14:paraId="769646CF" w14:textId="77777777" w:rsidR="003934E1" w:rsidRDefault="00000000">
      <w:pPr>
        <w:numPr>
          <w:ilvl w:val="0"/>
          <w:numId w:val="9"/>
        </w:num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Xalxo</w:t>
      </w:r>
      <w:proofErr w:type="spellEnd"/>
      <w:r>
        <w:rPr>
          <w:rFonts w:ascii="Times New Roman" w:eastAsia="Times New Roman" w:hAnsi="Times New Roman" w:cs="Times New Roman"/>
        </w:rPr>
        <w:t xml:space="preserve">, R.P. (2021), ‘Tribal Philosophy: Fusion of Tradition and Modernity’ in V. </w:t>
      </w: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xml:space="preserve">, V. Ekka, A.B. Bara and J.P. Horo (eds.), </w:t>
      </w:r>
      <w:r>
        <w:rPr>
          <w:rFonts w:ascii="Times New Roman" w:eastAsia="Times New Roman" w:hAnsi="Times New Roman" w:cs="Times New Roman"/>
          <w:i/>
        </w:rPr>
        <w:t>India’s Indigenous Peoples: A Journey of self-reflection on Culture, Society and Sustainability</w:t>
      </w:r>
      <w:r>
        <w:rPr>
          <w:rFonts w:ascii="Times New Roman" w:eastAsia="Times New Roman" w:hAnsi="Times New Roman" w:cs="Times New Roman"/>
        </w:rPr>
        <w:t>, 203-212. New Delhi: Indian Social Institute.</w:t>
      </w:r>
    </w:p>
    <w:p w14:paraId="7E275DAB" w14:textId="77777777" w:rsidR="003934E1" w:rsidRDefault="00000000">
      <w:pPr>
        <w:numPr>
          <w:ilvl w:val="0"/>
          <w:numId w:val="9"/>
        </w:numPr>
        <w:spacing w:line="360" w:lineRule="auto"/>
        <w:jc w:val="both"/>
        <w:rPr>
          <w:rFonts w:ascii="Times New Roman" w:eastAsia="Times New Roman" w:hAnsi="Times New Roman" w:cs="Times New Roman"/>
          <w:i/>
        </w:rPr>
      </w:pP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xml:space="preserve">, V. (1999a), ‘Transformation of Tribes in India: Terms of Discourse’, </w:t>
      </w:r>
      <w:r>
        <w:rPr>
          <w:rFonts w:ascii="Times New Roman" w:eastAsia="Times New Roman" w:hAnsi="Times New Roman" w:cs="Times New Roman"/>
          <w:i/>
        </w:rPr>
        <w:t>Economic</w:t>
      </w:r>
    </w:p>
    <w:p w14:paraId="47416DAB" w14:textId="77777777" w:rsidR="003934E1" w:rsidRDefault="00000000">
      <w:pPr>
        <w:spacing w:line="360" w:lineRule="auto"/>
        <w:ind w:left="720"/>
        <w:jc w:val="both"/>
        <w:rPr>
          <w:rFonts w:ascii="Times New Roman" w:eastAsia="Times New Roman" w:hAnsi="Times New Roman" w:cs="Times New Roman"/>
        </w:rPr>
      </w:pPr>
      <w:r>
        <w:rPr>
          <w:rFonts w:ascii="Times New Roman" w:eastAsia="Times New Roman" w:hAnsi="Times New Roman" w:cs="Times New Roman"/>
          <w:i/>
        </w:rPr>
        <w:t xml:space="preserve">and Political Weekly, </w:t>
      </w:r>
      <w:r>
        <w:rPr>
          <w:rFonts w:ascii="Times New Roman" w:eastAsia="Times New Roman" w:hAnsi="Times New Roman" w:cs="Times New Roman"/>
        </w:rPr>
        <w:t>34(24):1519–24.</w:t>
      </w:r>
    </w:p>
    <w:p w14:paraId="34191F66" w14:textId="77777777" w:rsidR="003934E1" w:rsidRDefault="00000000">
      <w:pPr>
        <w:numPr>
          <w:ilvl w:val="0"/>
          <w:numId w:val="9"/>
        </w:num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Xaxa</w:t>
      </w:r>
      <w:proofErr w:type="spellEnd"/>
      <w:r>
        <w:rPr>
          <w:rFonts w:ascii="Times New Roman" w:eastAsia="Times New Roman" w:hAnsi="Times New Roman" w:cs="Times New Roman"/>
        </w:rPr>
        <w:t xml:space="preserve">, V. (1999b), ‘Tribes as Indigenous people of India’, </w:t>
      </w:r>
      <w:r>
        <w:rPr>
          <w:rFonts w:ascii="Times New Roman" w:eastAsia="Times New Roman" w:hAnsi="Times New Roman" w:cs="Times New Roman"/>
          <w:i/>
        </w:rPr>
        <w:t>Economic and Political Weekly</w:t>
      </w:r>
      <w:r>
        <w:rPr>
          <w:rFonts w:ascii="Times New Roman" w:eastAsia="Times New Roman" w:hAnsi="Times New Roman" w:cs="Times New Roman"/>
        </w:rPr>
        <w:t>, 34(51) : 3589-3595.</w:t>
      </w:r>
    </w:p>
    <w:p w14:paraId="42D66392" w14:textId="77777777" w:rsidR="003934E1" w:rsidRDefault="00000000">
      <w:pPr>
        <w:numPr>
          <w:ilvl w:val="0"/>
          <w:numId w:val="9"/>
        </w:numPr>
        <w:spacing w:after="20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xml:space="preserve">, V. (2008), </w:t>
      </w:r>
      <w:r>
        <w:rPr>
          <w:rFonts w:ascii="Times New Roman" w:eastAsia="Times New Roman" w:hAnsi="Times New Roman" w:cs="Times New Roman"/>
          <w:i/>
        </w:rPr>
        <w:t>State Society and Tribes: Issues in Post-Colonial India</w:t>
      </w:r>
      <w:r>
        <w:rPr>
          <w:rFonts w:ascii="Times New Roman" w:eastAsia="Times New Roman" w:hAnsi="Times New Roman" w:cs="Times New Roman"/>
        </w:rPr>
        <w:t>, Noida: Pearson</w:t>
      </w:r>
    </w:p>
    <w:p w14:paraId="35B6B7E0" w14:textId="77777777" w:rsidR="003934E1" w:rsidRDefault="003934E1">
      <w:pPr>
        <w:spacing w:line="360" w:lineRule="auto"/>
        <w:jc w:val="both"/>
        <w:rPr>
          <w:rFonts w:ascii="Times New Roman" w:eastAsia="Times New Roman" w:hAnsi="Times New Roman" w:cs="Times New Roman"/>
        </w:rPr>
      </w:pPr>
    </w:p>
    <w:p w14:paraId="3DB8CC11" w14:textId="77777777" w:rsidR="003934E1" w:rsidRDefault="003934E1">
      <w:pPr>
        <w:spacing w:line="360" w:lineRule="auto"/>
        <w:jc w:val="both"/>
        <w:rPr>
          <w:rFonts w:ascii="Times New Roman" w:eastAsia="Times New Roman" w:hAnsi="Times New Roman" w:cs="Times New Roman"/>
        </w:rPr>
      </w:pPr>
    </w:p>
    <w:p w14:paraId="75796AC9" w14:textId="77777777" w:rsidR="003934E1" w:rsidRDefault="003934E1">
      <w:pPr>
        <w:spacing w:line="360" w:lineRule="auto"/>
        <w:jc w:val="both"/>
        <w:rPr>
          <w:rFonts w:ascii="Times New Roman" w:eastAsia="Times New Roman" w:hAnsi="Times New Roman" w:cs="Times New Roman"/>
        </w:rPr>
      </w:pPr>
    </w:p>
    <w:p w14:paraId="4E028D37" w14:textId="77777777" w:rsidR="003934E1" w:rsidRDefault="003934E1">
      <w:pPr>
        <w:spacing w:line="360" w:lineRule="auto"/>
        <w:jc w:val="both"/>
        <w:rPr>
          <w:rFonts w:ascii="Times New Roman" w:eastAsia="Times New Roman" w:hAnsi="Times New Roman" w:cs="Times New Roman"/>
        </w:rPr>
      </w:pPr>
    </w:p>
    <w:p w14:paraId="52F05BE8" w14:textId="77777777" w:rsidR="003934E1" w:rsidRDefault="003934E1">
      <w:pPr>
        <w:spacing w:line="360" w:lineRule="auto"/>
        <w:jc w:val="both"/>
        <w:rPr>
          <w:rFonts w:ascii="Times New Roman" w:eastAsia="Times New Roman" w:hAnsi="Times New Roman" w:cs="Times New Roman"/>
        </w:rPr>
      </w:pPr>
    </w:p>
    <w:p w14:paraId="6A02C6D2" w14:textId="77777777" w:rsidR="003934E1" w:rsidRDefault="003934E1">
      <w:pPr>
        <w:spacing w:line="360" w:lineRule="auto"/>
        <w:jc w:val="both"/>
        <w:rPr>
          <w:rFonts w:ascii="Times New Roman" w:eastAsia="Times New Roman" w:hAnsi="Times New Roman" w:cs="Times New Roman"/>
        </w:rPr>
      </w:pPr>
    </w:p>
    <w:p w14:paraId="07924394" w14:textId="77777777" w:rsidR="003934E1" w:rsidRDefault="00000000">
      <w:pPr>
        <w:pStyle w:val="Heading1"/>
        <w:spacing w:before="480" w:after="0" w:line="360" w:lineRule="auto"/>
        <w:jc w:val="both"/>
        <w:rPr>
          <w:rFonts w:ascii="Times New Roman" w:eastAsia="Times New Roman" w:hAnsi="Times New Roman" w:cs="Times New Roman"/>
          <w:b/>
          <w:color w:val="000000"/>
          <w:sz w:val="28"/>
          <w:szCs w:val="28"/>
        </w:rPr>
      </w:pPr>
      <w:bookmarkStart w:id="0" w:name="_heading=h.araclz5m3ih7" w:colFirst="0" w:colLast="0"/>
      <w:bookmarkEnd w:id="0"/>
      <w:r>
        <w:rPr>
          <w:rFonts w:ascii="Times New Roman" w:eastAsia="Times New Roman" w:hAnsi="Times New Roman" w:cs="Times New Roman"/>
          <w:b/>
          <w:color w:val="000000"/>
          <w:sz w:val="28"/>
          <w:szCs w:val="28"/>
        </w:rPr>
        <w:t>From ‘Larka’ to ‘Separatist’: Colonial Legacies and the Ho Adivasi-State Relationship in Jharkhand</w:t>
      </w:r>
    </w:p>
    <w:p w14:paraId="11373DB7" w14:textId="77777777" w:rsidR="003934E1" w:rsidRDefault="003934E1">
      <w:pPr>
        <w:spacing w:after="200" w:line="360" w:lineRule="auto"/>
        <w:jc w:val="both"/>
        <w:rPr>
          <w:rFonts w:ascii="Times New Roman" w:eastAsia="Times New Roman" w:hAnsi="Times New Roman" w:cs="Times New Roman"/>
          <w:sz w:val="28"/>
          <w:szCs w:val="28"/>
        </w:rPr>
      </w:pPr>
    </w:p>
    <w:p w14:paraId="0F474AC2"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Author: Manish Surin</w:t>
      </w:r>
    </w:p>
    <w:p w14:paraId="3D0BAD93"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Affiliation: PhD Researcher, School of Global Studies, University of Sussex, UK</w:t>
      </w:r>
    </w:p>
    <w:p w14:paraId="040EA39E"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Email: ms2412@sussex.ac.uk</w:t>
      </w:r>
    </w:p>
    <w:p w14:paraId="40A79541"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Country: India / United Kingdom</w:t>
      </w:r>
    </w:p>
    <w:p w14:paraId="7815A292" w14:textId="77777777" w:rsidR="003934E1" w:rsidRDefault="003934E1">
      <w:pPr>
        <w:spacing w:after="200" w:line="360" w:lineRule="auto"/>
        <w:jc w:val="both"/>
        <w:rPr>
          <w:rFonts w:ascii="Times New Roman" w:eastAsia="Times New Roman" w:hAnsi="Times New Roman" w:cs="Times New Roman"/>
        </w:rPr>
      </w:pPr>
    </w:p>
    <w:p w14:paraId="710AB193" w14:textId="77777777" w:rsidR="003934E1" w:rsidRDefault="00000000">
      <w:pPr>
        <w:spacing w:after="200" w:line="276" w:lineRule="auto"/>
        <w:jc w:val="both"/>
        <w:rPr>
          <w:rFonts w:ascii="Cambria" w:eastAsia="Cambria" w:hAnsi="Cambria" w:cs="Cambria"/>
          <w:sz w:val="22"/>
          <w:szCs w:val="22"/>
        </w:rPr>
      </w:pPr>
      <w:r>
        <w:rPr>
          <w:rFonts w:ascii="Cambria" w:eastAsia="Cambria" w:hAnsi="Cambria" w:cs="Cambria"/>
          <w:sz w:val="22"/>
          <w:szCs w:val="22"/>
        </w:rPr>
        <w:t xml:space="preserve">This paper critically examines the historical and contemporary relationship between the Ho Adivasis and the state—both colonial and postcolonial—through a close reading of legal, administrative, and political developments in the </w:t>
      </w:r>
      <w:proofErr w:type="spellStart"/>
      <w:r>
        <w:rPr>
          <w:rFonts w:ascii="Cambria" w:eastAsia="Cambria" w:hAnsi="Cambria" w:cs="Cambria"/>
          <w:sz w:val="22"/>
          <w:szCs w:val="22"/>
        </w:rPr>
        <w:t>Kolhan</w:t>
      </w:r>
      <w:proofErr w:type="spellEnd"/>
      <w:r>
        <w:rPr>
          <w:rFonts w:ascii="Cambria" w:eastAsia="Cambria" w:hAnsi="Cambria" w:cs="Cambria"/>
          <w:sz w:val="22"/>
          <w:szCs w:val="22"/>
        </w:rPr>
        <w:t xml:space="preserve"> division of present-day Jharkhand. By tracing continuities in state practices and discourses, it argues that colonial tropes of savagery and paternalism have found echoes in the Indian state's approach to Adivasi self-assertion.</w:t>
      </w:r>
      <w:r>
        <w:rPr>
          <w:rFonts w:ascii="Cambria" w:eastAsia="Cambria" w:hAnsi="Cambria" w:cs="Cambria"/>
          <w:sz w:val="22"/>
          <w:szCs w:val="22"/>
        </w:rPr>
        <w:br/>
      </w:r>
      <w:r>
        <w:rPr>
          <w:rFonts w:ascii="Cambria" w:eastAsia="Cambria" w:hAnsi="Cambria" w:cs="Cambria"/>
          <w:sz w:val="22"/>
          <w:szCs w:val="22"/>
        </w:rPr>
        <w:br/>
        <w:t xml:space="preserve">During their early encounters with the British colonial state, the Ho Adivasis were described as “Larka Kols”—a term used not merely to mark them as unruly but to acknowledge their fearlessness in battle. British officials recorded how they would charge into combat with battle axes, often fighting to the death rather than surrender. In response to this fierce resistance, the British established the </w:t>
      </w:r>
      <w:proofErr w:type="spellStart"/>
      <w:r>
        <w:rPr>
          <w:rFonts w:ascii="Cambria" w:eastAsia="Cambria" w:hAnsi="Cambria" w:cs="Cambria"/>
          <w:sz w:val="22"/>
          <w:szCs w:val="22"/>
        </w:rPr>
        <w:t>Kolhan</w:t>
      </w:r>
      <w:proofErr w:type="spellEnd"/>
      <w:r>
        <w:rPr>
          <w:rFonts w:ascii="Cambria" w:eastAsia="Cambria" w:hAnsi="Cambria" w:cs="Cambria"/>
          <w:sz w:val="22"/>
          <w:szCs w:val="22"/>
        </w:rPr>
        <w:t xml:space="preserve"> Government Estate (K.G.E.) in 1837—a non-regulation administrative tract governed by a separate set of 31 provisions known as Wilkinson’s Rules. These rules enabled British officers to govern civil and criminal matters outside the purview of standard colonial law, creating a framework that both paternalistically “protected” and tightly controlled the Ho population.</w:t>
      </w:r>
      <w:r>
        <w:rPr>
          <w:rFonts w:ascii="Cambria" w:eastAsia="Cambria" w:hAnsi="Cambria" w:cs="Cambria"/>
          <w:sz w:val="22"/>
          <w:szCs w:val="22"/>
        </w:rPr>
        <w:br/>
      </w:r>
      <w:r>
        <w:rPr>
          <w:rFonts w:ascii="Cambria" w:eastAsia="Cambria" w:hAnsi="Cambria" w:cs="Cambria"/>
          <w:sz w:val="22"/>
          <w:szCs w:val="22"/>
        </w:rPr>
        <w:lastRenderedPageBreak/>
        <w:br/>
        <w:t xml:space="preserve">Traditional leadership roles—particularly those of the </w:t>
      </w:r>
      <w:proofErr w:type="spellStart"/>
      <w:r>
        <w:rPr>
          <w:rFonts w:ascii="Cambria" w:eastAsia="Cambria" w:hAnsi="Cambria" w:cs="Cambria"/>
          <w:sz w:val="22"/>
          <w:szCs w:val="22"/>
        </w:rPr>
        <w:t>Mundas</w:t>
      </w:r>
      <w:proofErr w:type="spellEnd"/>
      <w:r>
        <w:rPr>
          <w:rFonts w:ascii="Cambria" w:eastAsia="Cambria" w:hAnsi="Cambria" w:cs="Cambria"/>
          <w:sz w:val="22"/>
          <w:szCs w:val="22"/>
          <w:vertAlign w:val="superscript"/>
        </w:rPr>
        <w:footnoteReference w:id="36"/>
      </w:r>
      <w:r>
        <w:rPr>
          <w:rFonts w:ascii="Cambria" w:eastAsia="Cambria" w:hAnsi="Cambria" w:cs="Cambria"/>
          <w:sz w:val="22"/>
          <w:szCs w:val="22"/>
        </w:rPr>
        <w:t xml:space="preserve"> and </w:t>
      </w:r>
      <w:proofErr w:type="spellStart"/>
      <w:r>
        <w:rPr>
          <w:rFonts w:ascii="Cambria" w:eastAsia="Cambria" w:hAnsi="Cambria" w:cs="Cambria"/>
          <w:sz w:val="22"/>
          <w:szCs w:val="22"/>
        </w:rPr>
        <w:t>Mankis</w:t>
      </w:r>
      <w:proofErr w:type="spellEnd"/>
      <w:r>
        <w:rPr>
          <w:rFonts w:ascii="Cambria" w:eastAsia="Cambria" w:hAnsi="Cambria" w:cs="Cambria"/>
          <w:sz w:val="22"/>
          <w:szCs w:val="22"/>
          <w:vertAlign w:val="superscript"/>
        </w:rPr>
        <w:footnoteReference w:id="37"/>
      </w:r>
      <w:r>
        <w:rPr>
          <w:rFonts w:ascii="Cambria" w:eastAsia="Cambria" w:hAnsi="Cambria" w:cs="Cambria"/>
          <w:sz w:val="22"/>
          <w:szCs w:val="22"/>
        </w:rPr>
        <w:t>—were restructured and incorporated into the colonial bureaucracy as revenue collectors and mediators of state authority. While this appeared to preserve indigenous institutions, it fundamentally altered their roles and tied them to the logic of colonial extraction and surveillance. Although the K.G.E. was formally dissolved after India’s independence, its administrative legacy persists in local governance systems and state perceptions of tribal communities.</w:t>
      </w:r>
      <w:r>
        <w:rPr>
          <w:rFonts w:ascii="Cambria" w:eastAsia="Cambria" w:hAnsi="Cambria" w:cs="Cambria"/>
          <w:sz w:val="22"/>
          <w:szCs w:val="22"/>
        </w:rPr>
        <w:br/>
      </w:r>
      <w:r>
        <w:rPr>
          <w:rFonts w:ascii="Cambria" w:eastAsia="Cambria" w:hAnsi="Cambria" w:cs="Cambria"/>
          <w:sz w:val="22"/>
          <w:szCs w:val="22"/>
        </w:rPr>
        <w:br/>
        <w:t>In the decades following independence, especially during the 1970s</w:t>
      </w:r>
      <w:r>
        <w:rPr>
          <w:rFonts w:ascii="Cambria" w:eastAsia="Cambria" w:hAnsi="Cambria" w:cs="Cambria"/>
          <w:sz w:val="22"/>
          <w:szCs w:val="22"/>
          <w:vertAlign w:val="superscript"/>
        </w:rPr>
        <w:footnoteReference w:id="38"/>
      </w:r>
      <w:r>
        <w:rPr>
          <w:rFonts w:ascii="Cambria" w:eastAsia="Cambria" w:hAnsi="Cambria" w:cs="Cambria"/>
          <w:sz w:val="22"/>
          <w:szCs w:val="22"/>
        </w:rPr>
        <w:t xml:space="preserve"> and early 2000s</w:t>
      </w:r>
      <w:r>
        <w:rPr>
          <w:rFonts w:ascii="Cambria" w:eastAsia="Cambria" w:hAnsi="Cambria" w:cs="Cambria"/>
          <w:sz w:val="22"/>
          <w:szCs w:val="22"/>
          <w:vertAlign w:val="superscript"/>
        </w:rPr>
        <w:footnoteReference w:id="39"/>
      </w:r>
      <w:r>
        <w:rPr>
          <w:rFonts w:ascii="Cambria" w:eastAsia="Cambria" w:hAnsi="Cambria" w:cs="Cambria"/>
          <w:sz w:val="22"/>
          <w:szCs w:val="22"/>
        </w:rPr>
        <w:t>, some factions within the Ho community raised demands for regional autonomy, at times invoking the memory of the K.G.E. as a historical basis for their claims. These movements were often met with suspicion and framed as separatist, echoing colonial anxieties around tribal sovereignty. This paper interrogates such framings and calls for a more nuanced understanding of Adivasi political expression—one that resists simplistic binaries of loyalty versus rebellion.</w:t>
      </w:r>
      <w:r>
        <w:rPr>
          <w:rFonts w:ascii="Cambria" w:eastAsia="Cambria" w:hAnsi="Cambria" w:cs="Cambria"/>
          <w:sz w:val="22"/>
          <w:szCs w:val="22"/>
        </w:rPr>
        <w:br/>
      </w:r>
      <w:r>
        <w:rPr>
          <w:rFonts w:ascii="Cambria" w:eastAsia="Cambria" w:hAnsi="Cambria" w:cs="Cambria"/>
          <w:sz w:val="22"/>
          <w:szCs w:val="22"/>
        </w:rPr>
        <w:br/>
        <w:t>Drawing on archival sources, oral narratives, and extensive ethnographic engagement, the paper critically analyses the dominant narratives constructed by the state apparatus and foregrounds Adivasi epistemologies. It argues that the Ho experience—rooted in both historical resistance and contemporary negotiations—demands a rethinking of how tribal communities are positioned within India’s national story.</w:t>
      </w:r>
      <w:r>
        <w:rPr>
          <w:rFonts w:ascii="Cambria" w:eastAsia="Cambria" w:hAnsi="Cambria" w:cs="Cambria"/>
          <w:sz w:val="22"/>
          <w:szCs w:val="22"/>
        </w:rPr>
        <w:br/>
      </w:r>
      <w:r>
        <w:rPr>
          <w:rFonts w:ascii="Cambria" w:eastAsia="Cambria" w:hAnsi="Cambria" w:cs="Cambria"/>
          <w:sz w:val="22"/>
          <w:szCs w:val="22"/>
        </w:rPr>
        <w:br/>
        <w:t>In doing so, this study contributes to the broader effort to decolonize tribal studies, shift the frame from rebellion to rights, and reassert the political and historical agency of Adivasi communities in the making of modern India.</w:t>
      </w:r>
    </w:p>
    <w:p w14:paraId="424B3BE1" w14:textId="77777777" w:rsidR="003934E1" w:rsidRDefault="00000000">
      <w:pPr>
        <w:spacing w:after="200" w:line="360" w:lineRule="auto"/>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b/>
        </w:rPr>
        <w:t>Keywords:</w:t>
      </w:r>
      <w:r>
        <w:rPr>
          <w:rFonts w:ascii="Times New Roman" w:eastAsia="Times New Roman" w:hAnsi="Times New Roman" w:cs="Times New Roman"/>
        </w:rPr>
        <w:t xml:space="preserve"> Ho Adivasis,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Government Estate, Wilkinson’s Rules, tribal autonomy, colonial governance, separatism, decolonial history, Indigenous-state relations</w:t>
      </w:r>
    </w:p>
    <w:p w14:paraId="5B44FABB" w14:textId="77777777" w:rsidR="003934E1" w:rsidRDefault="003934E1">
      <w:pPr>
        <w:spacing w:line="360" w:lineRule="auto"/>
        <w:jc w:val="both"/>
        <w:rPr>
          <w:rFonts w:ascii="Times New Roman" w:eastAsia="Times New Roman" w:hAnsi="Times New Roman" w:cs="Times New Roman"/>
        </w:rPr>
      </w:pPr>
    </w:p>
    <w:p w14:paraId="0053C987" w14:textId="77777777" w:rsidR="003934E1" w:rsidRDefault="003934E1">
      <w:pPr>
        <w:spacing w:line="360" w:lineRule="auto"/>
        <w:jc w:val="both"/>
        <w:rPr>
          <w:rFonts w:ascii="Times New Roman" w:eastAsia="Times New Roman" w:hAnsi="Times New Roman" w:cs="Times New Roman"/>
        </w:rPr>
      </w:pPr>
    </w:p>
    <w:p w14:paraId="2967019B" w14:textId="77777777" w:rsidR="003934E1" w:rsidRDefault="003934E1">
      <w:pPr>
        <w:spacing w:line="360" w:lineRule="auto"/>
        <w:jc w:val="both"/>
        <w:rPr>
          <w:rFonts w:ascii="Times New Roman" w:eastAsia="Times New Roman" w:hAnsi="Times New Roman" w:cs="Times New Roman"/>
        </w:rPr>
      </w:pPr>
    </w:p>
    <w:p w14:paraId="6FB56EAD" w14:textId="77777777" w:rsidR="003934E1" w:rsidRDefault="003934E1">
      <w:pPr>
        <w:spacing w:line="360" w:lineRule="auto"/>
        <w:jc w:val="both"/>
        <w:rPr>
          <w:rFonts w:ascii="Times New Roman" w:eastAsia="Times New Roman" w:hAnsi="Times New Roman" w:cs="Times New Roman"/>
        </w:rPr>
      </w:pPr>
    </w:p>
    <w:p w14:paraId="1E63C322" w14:textId="77777777" w:rsidR="003934E1" w:rsidRDefault="003934E1">
      <w:pPr>
        <w:spacing w:line="360" w:lineRule="auto"/>
        <w:jc w:val="both"/>
        <w:rPr>
          <w:rFonts w:ascii="Times New Roman" w:eastAsia="Times New Roman" w:hAnsi="Times New Roman" w:cs="Times New Roman"/>
        </w:rPr>
      </w:pPr>
    </w:p>
    <w:p w14:paraId="7441B28F" w14:textId="77777777" w:rsidR="003934E1" w:rsidRDefault="003934E1">
      <w:pPr>
        <w:spacing w:line="360" w:lineRule="auto"/>
        <w:jc w:val="both"/>
        <w:rPr>
          <w:rFonts w:ascii="Times New Roman" w:eastAsia="Times New Roman" w:hAnsi="Times New Roman" w:cs="Times New Roman"/>
        </w:rPr>
      </w:pPr>
    </w:p>
    <w:p w14:paraId="176C1588" w14:textId="77777777" w:rsidR="003934E1" w:rsidRDefault="003934E1">
      <w:pPr>
        <w:spacing w:line="360" w:lineRule="auto"/>
        <w:jc w:val="both"/>
        <w:rPr>
          <w:rFonts w:ascii="Times New Roman" w:eastAsia="Times New Roman" w:hAnsi="Times New Roman" w:cs="Times New Roman"/>
        </w:rPr>
      </w:pPr>
    </w:p>
    <w:p w14:paraId="2882C65E" w14:textId="77777777" w:rsidR="003934E1" w:rsidRDefault="003934E1">
      <w:pPr>
        <w:spacing w:line="360" w:lineRule="auto"/>
        <w:jc w:val="both"/>
        <w:rPr>
          <w:rFonts w:ascii="Times New Roman" w:eastAsia="Times New Roman" w:hAnsi="Times New Roman" w:cs="Times New Roman"/>
        </w:rPr>
      </w:pPr>
    </w:p>
    <w:p w14:paraId="3C00D453" w14:textId="77777777" w:rsidR="003934E1" w:rsidRDefault="003934E1">
      <w:pPr>
        <w:spacing w:line="360" w:lineRule="auto"/>
        <w:jc w:val="both"/>
        <w:rPr>
          <w:rFonts w:ascii="Times New Roman" w:eastAsia="Times New Roman" w:hAnsi="Times New Roman" w:cs="Times New Roman"/>
        </w:rPr>
      </w:pPr>
    </w:p>
    <w:p w14:paraId="06DE3545" w14:textId="77777777" w:rsidR="003934E1" w:rsidRDefault="00000000">
      <w:pPr>
        <w:pStyle w:val="Heading1"/>
        <w:keepNext w:val="0"/>
        <w:keepLines w:val="0"/>
        <w:spacing w:before="480" w:after="120" w:line="360" w:lineRule="auto"/>
        <w:rPr>
          <w:rFonts w:ascii="Times New Roman" w:eastAsia="Times New Roman" w:hAnsi="Times New Roman" w:cs="Times New Roman"/>
          <w:b/>
          <w:color w:val="000000"/>
          <w:sz w:val="28"/>
          <w:szCs w:val="28"/>
        </w:rPr>
      </w:pPr>
      <w:bookmarkStart w:id="1" w:name="_heading=h.ivk5blkezud0" w:colFirst="0" w:colLast="0"/>
      <w:bookmarkEnd w:id="1"/>
      <w:r>
        <w:rPr>
          <w:rFonts w:ascii="Times New Roman" w:eastAsia="Times New Roman" w:hAnsi="Times New Roman" w:cs="Times New Roman"/>
          <w:b/>
          <w:color w:val="000000"/>
          <w:sz w:val="28"/>
          <w:szCs w:val="28"/>
        </w:rPr>
        <w:t>From ‘Larka’ to ‘Separatist’: Colonial Legacies and the Ho Adivasi-State Relationship in Jharkhand</w:t>
      </w:r>
    </w:p>
    <w:p w14:paraId="15AE45A0" w14:textId="77777777" w:rsidR="003934E1"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i/>
        </w:rPr>
        <w:t>Manish Surin, University of Sussex</w:t>
      </w:r>
    </w:p>
    <w:p w14:paraId="59B1CF62" w14:textId="77777777" w:rsidR="003934E1" w:rsidRDefault="00000000">
      <w:pPr>
        <w:spacing w:before="240" w:after="240" w:line="360" w:lineRule="auto"/>
        <w:rPr>
          <w:rFonts w:ascii="Times New Roman" w:eastAsia="Times New Roman" w:hAnsi="Times New Roman" w:cs="Times New Roman"/>
          <w:i/>
        </w:rPr>
      </w:pPr>
      <w:r>
        <w:rPr>
          <w:rFonts w:ascii="Times New Roman" w:eastAsia="Times New Roman" w:hAnsi="Times New Roman" w:cs="Times New Roman"/>
          <w:i/>
        </w:rPr>
        <w:t xml:space="preserve">Email: </w:t>
      </w:r>
      <w:hyperlink r:id="rId27">
        <w:r w:rsidR="003934E1">
          <w:rPr>
            <w:rFonts w:ascii="Times New Roman" w:eastAsia="Times New Roman" w:hAnsi="Times New Roman" w:cs="Times New Roman"/>
            <w:i/>
            <w:color w:val="1155CC"/>
            <w:u w:val="single"/>
          </w:rPr>
          <w:t>manishsurin009@gmail.com</w:t>
        </w:r>
      </w:hyperlink>
    </w:p>
    <w:p w14:paraId="156DCEA7" w14:textId="77777777" w:rsidR="003934E1" w:rsidRDefault="003934E1">
      <w:pPr>
        <w:pStyle w:val="Heading3"/>
        <w:keepNext w:val="0"/>
        <w:keepLines w:val="0"/>
        <w:spacing w:before="280" w:line="360" w:lineRule="auto"/>
        <w:rPr>
          <w:rFonts w:ascii="Times New Roman" w:eastAsia="Times New Roman" w:hAnsi="Times New Roman" w:cs="Times New Roman"/>
          <w:b/>
          <w:color w:val="000000"/>
          <w:sz w:val="24"/>
          <w:szCs w:val="24"/>
        </w:rPr>
      </w:pPr>
      <w:bookmarkStart w:id="2" w:name="_heading=h.nios6fipl1k1" w:colFirst="0" w:colLast="0"/>
      <w:bookmarkEnd w:id="2"/>
    </w:p>
    <w:p w14:paraId="309D8D4C" w14:textId="77777777" w:rsidR="003934E1" w:rsidRDefault="00000000">
      <w:pPr>
        <w:pStyle w:val="Heading3"/>
        <w:keepNext w:val="0"/>
        <w:keepLines w:val="0"/>
        <w:spacing w:before="280" w:line="360" w:lineRule="auto"/>
        <w:rPr>
          <w:rFonts w:ascii="Times New Roman" w:eastAsia="Times New Roman" w:hAnsi="Times New Roman" w:cs="Times New Roman"/>
          <w:b/>
          <w:color w:val="000000"/>
          <w:sz w:val="24"/>
          <w:szCs w:val="24"/>
        </w:rPr>
      </w:pPr>
      <w:bookmarkStart w:id="3" w:name="_heading=h.crwfvqfmdznl" w:colFirst="0" w:colLast="0"/>
      <w:bookmarkEnd w:id="3"/>
      <w:r>
        <w:rPr>
          <w:rFonts w:ascii="Times New Roman" w:eastAsia="Times New Roman" w:hAnsi="Times New Roman" w:cs="Times New Roman"/>
          <w:b/>
          <w:color w:val="000000"/>
          <w:sz w:val="24"/>
          <w:szCs w:val="24"/>
        </w:rPr>
        <w:t>Keywords: Ho Adivasi, colonial legacies, Adivasi-state relations, Wilkinson’s Rules, decolonial framework, Adivasi governance system</w:t>
      </w:r>
    </w:p>
    <w:p w14:paraId="27427208" w14:textId="77777777" w:rsidR="003934E1" w:rsidRDefault="003934E1">
      <w:pPr>
        <w:spacing w:before="240" w:after="240" w:line="360" w:lineRule="auto"/>
        <w:rPr>
          <w:rFonts w:ascii="Times New Roman" w:eastAsia="Times New Roman" w:hAnsi="Times New Roman" w:cs="Times New Roman"/>
          <w:b/>
        </w:rPr>
      </w:pPr>
    </w:p>
    <w:p w14:paraId="3B1D5314" w14:textId="77777777" w:rsidR="003934E1" w:rsidRDefault="00000000">
      <w:pPr>
        <w:spacing w:before="240" w:after="240" w:line="360" w:lineRule="auto"/>
        <w:rPr>
          <w:rFonts w:ascii="Times New Roman" w:eastAsia="Times New Roman" w:hAnsi="Times New Roman" w:cs="Times New Roman"/>
        </w:rPr>
      </w:pPr>
      <w:r>
        <w:rPr>
          <w:rFonts w:ascii="Times New Roman" w:eastAsia="Times New Roman" w:hAnsi="Times New Roman" w:cs="Times New Roman"/>
          <w:b/>
        </w:rPr>
        <w:t xml:space="preserve">Word count: </w:t>
      </w:r>
      <w:r>
        <w:rPr>
          <w:rFonts w:ascii="Times New Roman" w:eastAsia="Times New Roman" w:hAnsi="Times New Roman" w:cs="Times New Roman"/>
        </w:rPr>
        <w:t>approximately 3908 words</w:t>
      </w:r>
    </w:p>
    <w:p w14:paraId="6F090C9D" w14:textId="77777777" w:rsidR="003934E1" w:rsidRDefault="003934E1">
      <w:pPr>
        <w:pStyle w:val="Heading2"/>
        <w:keepNext w:val="0"/>
        <w:keepLines w:val="0"/>
        <w:spacing w:before="360" w:line="360" w:lineRule="auto"/>
        <w:jc w:val="both"/>
        <w:rPr>
          <w:rFonts w:ascii="Times New Roman" w:eastAsia="Times New Roman" w:hAnsi="Times New Roman" w:cs="Times New Roman"/>
          <w:b/>
          <w:color w:val="000000"/>
          <w:sz w:val="24"/>
          <w:szCs w:val="24"/>
        </w:rPr>
      </w:pPr>
      <w:bookmarkStart w:id="4" w:name="_heading=h.is8tui59v7ac" w:colFirst="0" w:colLast="0"/>
      <w:bookmarkEnd w:id="4"/>
    </w:p>
    <w:p w14:paraId="4935E7E2" w14:textId="77777777" w:rsidR="003934E1" w:rsidRDefault="00000000">
      <w:pPr>
        <w:pStyle w:val="Heading2"/>
        <w:keepNext w:val="0"/>
        <w:keepLines w:val="0"/>
        <w:spacing w:before="360" w:line="360" w:lineRule="auto"/>
        <w:jc w:val="both"/>
        <w:rPr>
          <w:rFonts w:ascii="Times New Roman" w:eastAsia="Times New Roman" w:hAnsi="Times New Roman" w:cs="Times New Roman"/>
          <w:b/>
          <w:color w:val="000000"/>
          <w:sz w:val="24"/>
          <w:szCs w:val="24"/>
        </w:rPr>
      </w:pPr>
      <w:bookmarkStart w:id="5" w:name="_heading=h.oal1yb5kqp2i" w:colFirst="0" w:colLast="0"/>
      <w:bookmarkEnd w:id="5"/>
      <w:r>
        <w:rPr>
          <w:rFonts w:ascii="Times New Roman" w:eastAsia="Times New Roman" w:hAnsi="Times New Roman" w:cs="Times New Roman"/>
          <w:b/>
          <w:color w:val="000000"/>
          <w:sz w:val="24"/>
          <w:szCs w:val="24"/>
        </w:rPr>
        <w:t>Abstract</w:t>
      </w:r>
    </w:p>
    <w:p w14:paraId="340DA4E4"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rPr>
        <w:t xml:space="preserve">Background: </w:t>
      </w:r>
      <w:r>
        <w:rPr>
          <w:rFonts w:ascii="Times New Roman" w:eastAsia="Times New Roman" w:hAnsi="Times New Roman" w:cs="Times New Roman"/>
        </w:rPr>
        <w:t>In India, the relationship between indigenous communities and the state is shaped by enduring colonialism and colonial-era policies, exemplified by the Ho Adivasis of Jharkhand, as patterns of governance, representation and control persist.</w:t>
      </w:r>
    </w:p>
    <w:p w14:paraId="0A7B85DD"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rPr>
        <w:t xml:space="preserve">Aim: </w:t>
      </w:r>
      <w:r>
        <w:rPr>
          <w:rFonts w:ascii="Times New Roman" w:eastAsia="Times New Roman" w:hAnsi="Times New Roman" w:cs="Times New Roman"/>
        </w:rPr>
        <w:t>This study  traces the evolution of governance structures between Ho Adivasis and the Indian state from the colonial period to the post-independence era, seeking to challenge the dominant narratives of rebellion and passivity by foregrounding the Adivasi agency, political subjectivity and knowledge systems.</w:t>
      </w:r>
    </w:p>
    <w:p w14:paraId="3FCB2A41"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rPr>
        <w:t xml:space="preserve">Methods: </w:t>
      </w:r>
      <w:r>
        <w:rPr>
          <w:rFonts w:ascii="Times New Roman" w:eastAsia="Times New Roman" w:hAnsi="Times New Roman" w:cs="Times New Roman"/>
        </w:rPr>
        <w:t xml:space="preserve">This study draws on the historical analysis of colonial archives, settlement records, and ethnographic fieldwork conducted in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Jharkhand. It incorporates oral histories, interviews with Adivasi village headmen, and observations of customary governance practices to analyse the persistence of coloniality in law, policy and community life.</w:t>
      </w:r>
    </w:p>
    <w:p w14:paraId="7020D794"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Results: </w:t>
      </w:r>
      <w:r>
        <w:rPr>
          <w:rFonts w:ascii="Times New Roman" w:eastAsia="Times New Roman" w:hAnsi="Times New Roman" w:cs="Times New Roman"/>
        </w:rPr>
        <w:t>This study found that colonial governance frameworks, such as Wilkinson’s Rules and the Munda-</w:t>
      </w:r>
      <w:proofErr w:type="spellStart"/>
      <w:r>
        <w:rPr>
          <w:rFonts w:ascii="Times New Roman" w:eastAsia="Times New Roman" w:hAnsi="Times New Roman" w:cs="Times New Roman"/>
        </w:rPr>
        <w:t>Manki</w:t>
      </w:r>
      <w:proofErr w:type="spellEnd"/>
      <w:r>
        <w:rPr>
          <w:rFonts w:ascii="Times New Roman" w:eastAsia="Times New Roman" w:hAnsi="Times New Roman" w:cs="Times New Roman"/>
        </w:rPr>
        <w:t xml:space="preserve"> system, continue to shape dispute resolution in civil matters in the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region of Jharkhand. Post-independence policies often reproduce colonial patterns of suspicion, marginalisation and control, particularly in the context of governance and political mobilisation. Despite these challenges, Ho Adivasis assert agency through resistance, cultural practices and demands for autonomy.</w:t>
      </w:r>
    </w:p>
    <w:p w14:paraId="36FB2C0C" w14:textId="77777777" w:rsidR="003934E1" w:rsidRDefault="00000000">
      <w:pPr>
        <w:spacing w:before="240" w:after="240" w:line="360" w:lineRule="auto"/>
        <w:jc w:val="both"/>
        <w:rPr>
          <w:rFonts w:ascii="Times New Roman" w:eastAsia="Times New Roman" w:hAnsi="Times New Roman" w:cs="Times New Roman"/>
        </w:rPr>
        <w:sectPr w:rsidR="003934E1">
          <w:pgSz w:w="11900" w:h="16840"/>
          <w:pgMar w:top="1440" w:right="1440" w:bottom="1440" w:left="1440" w:header="708" w:footer="708" w:gutter="0"/>
          <w:pgNumType w:start="1"/>
          <w:cols w:space="720"/>
        </w:sectPr>
      </w:pPr>
      <w:r>
        <w:rPr>
          <w:rFonts w:ascii="Times New Roman" w:eastAsia="Times New Roman" w:hAnsi="Times New Roman" w:cs="Times New Roman"/>
          <w:b/>
        </w:rPr>
        <w:t xml:space="preserve">Conclusion: </w:t>
      </w:r>
      <w:r>
        <w:rPr>
          <w:rFonts w:ascii="Times New Roman" w:eastAsia="Times New Roman" w:hAnsi="Times New Roman" w:cs="Times New Roman"/>
        </w:rPr>
        <w:t xml:space="preserve">A decolonial approach is essential to understand the complexities of Ho-state relations. This requires </w:t>
      </w:r>
      <w:proofErr w:type="spellStart"/>
      <w:r>
        <w:rPr>
          <w:rFonts w:ascii="Times New Roman" w:eastAsia="Times New Roman" w:hAnsi="Times New Roman" w:cs="Times New Roman"/>
        </w:rPr>
        <w:t>centering</w:t>
      </w:r>
      <w:proofErr w:type="spellEnd"/>
      <w:r>
        <w:rPr>
          <w:rFonts w:ascii="Times New Roman" w:eastAsia="Times New Roman" w:hAnsi="Times New Roman" w:cs="Times New Roman"/>
        </w:rPr>
        <w:t xml:space="preserve"> Adivasi epistemologies, recognising historical injustices and reimagining governance structures that respect indigenous rights and knowledge.</w:t>
      </w:r>
    </w:p>
    <w:p w14:paraId="5CD595C2" w14:textId="77777777" w:rsidR="003934E1" w:rsidRDefault="003934E1">
      <w:pPr>
        <w:spacing w:before="240" w:after="240" w:line="360" w:lineRule="auto"/>
        <w:jc w:val="both"/>
        <w:rPr>
          <w:rFonts w:ascii="Times New Roman" w:eastAsia="Times New Roman" w:hAnsi="Times New Roman" w:cs="Times New Roman"/>
        </w:rPr>
        <w:sectPr w:rsidR="003934E1">
          <w:type w:val="continuous"/>
          <w:pgSz w:w="11900" w:h="16840"/>
          <w:pgMar w:top="1440" w:right="1440" w:bottom="1440" w:left="1440" w:header="720" w:footer="720" w:gutter="0"/>
          <w:cols w:space="720"/>
        </w:sectPr>
      </w:pPr>
    </w:p>
    <w:p w14:paraId="08DF25AC" w14:textId="77777777" w:rsidR="003934E1" w:rsidRDefault="00000000">
      <w:pPr>
        <w:pStyle w:val="Heading3"/>
        <w:keepNext w:val="0"/>
        <w:keepLines w:val="0"/>
        <w:spacing w:before="280" w:line="360" w:lineRule="auto"/>
        <w:jc w:val="both"/>
        <w:rPr>
          <w:rFonts w:ascii="Times New Roman" w:eastAsia="Times New Roman" w:hAnsi="Times New Roman" w:cs="Times New Roman"/>
          <w:b/>
          <w:color w:val="000000"/>
          <w:sz w:val="24"/>
          <w:szCs w:val="24"/>
        </w:rPr>
      </w:pPr>
      <w:bookmarkStart w:id="6" w:name="_heading=h.5psvxkz8ycri" w:colFirst="0" w:colLast="0"/>
      <w:bookmarkEnd w:id="6"/>
      <w:r>
        <w:rPr>
          <w:rFonts w:ascii="Times New Roman" w:eastAsia="Times New Roman" w:hAnsi="Times New Roman" w:cs="Times New Roman"/>
          <w:b/>
          <w:color w:val="000000"/>
          <w:sz w:val="24"/>
          <w:szCs w:val="24"/>
        </w:rPr>
        <w:t>Plain Language Summary</w:t>
      </w:r>
    </w:p>
    <w:p w14:paraId="73B4E410"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study investigates the historical interactions between the Ho Adivasi community in Jharkhand and the state, spanning British colonial rule to the contemporary period. This demonstrates that, despite India’s independence in 1947, colonial ideologies and legal frameworks continue to influence government approaches to Adivasi communities, such as the Ho. For example, colonial regulations concerning rights and justice, commonly referred to as Wilkinson’s rules, remain in effect in the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Region.</w:t>
      </w:r>
    </w:p>
    <w:p w14:paraId="7D9E3CEF"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This study further underscores that protests and mobilisation by the Ho community advocating for land and forest rights are frequently met with violence or suspicion, reminiscent of the colonial era. Nevertheless, the Ho community persistently exhibited resilience and fortitude through cultural celebrations, recollections of past resistance and ongoing political engagement.</w:t>
      </w:r>
    </w:p>
    <w:p w14:paraId="3A949815" w14:textId="77777777" w:rsidR="003934E1" w:rsidRDefault="00000000">
      <w:pPr>
        <w:spacing w:before="240" w:after="240" w:line="360" w:lineRule="auto"/>
        <w:jc w:val="both"/>
        <w:rPr>
          <w:rFonts w:ascii="Times New Roman" w:eastAsia="Times New Roman" w:hAnsi="Times New Roman" w:cs="Times New Roman"/>
        </w:rPr>
        <w:sectPr w:rsidR="003934E1">
          <w:type w:val="continuous"/>
          <w:pgSz w:w="11900" w:h="16840"/>
          <w:pgMar w:top="1440" w:right="1440" w:bottom="1440" w:left="1440" w:header="720" w:footer="720" w:gutter="0"/>
          <w:cols w:space="720"/>
        </w:sectPr>
      </w:pPr>
      <w:r>
        <w:rPr>
          <w:rFonts w:ascii="Times New Roman" w:eastAsia="Times New Roman" w:hAnsi="Times New Roman" w:cs="Times New Roman"/>
        </w:rPr>
        <w:t>This research posits that to genuinely honour Adivasi rights, India must transcend its entrenched colonial attitudes. This necessitates the formulation of policies that heed indigenous voices, appreciate their knowledge, and uphold their autonomy in decision-making regarding their land and lives.</w:t>
      </w:r>
    </w:p>
    <w:p w14:paraId="719B2FD3" w14:textId="77777777" w:rsidR="003934E1" w:rsidRDefault="003934E1">
      <w:pPr>
        <w:spacing w:before="240" w:after="240" w:line="360" w:lineRule="auto"/>
        <w:jc w:val="both"/>
        <w:rPr>
          <w:rFonts w:ascii="Times New Roman" w:eastAsia="Times New Roman" w:hAnsi="Times New Roman" w:cs="Times New Roman"/>
        </w:rPr>
      </w:pPr>
    </w:p>
    <w:p w14:paraId="69869574" w14:textId="77777777" w:rsidR="003934E1" w:rsidRDefault="00000000">
      <w:pPr>
        <w:pStyle w:val="Heading2"/>
        <w:keepNext w:val="0"/>
        <w:keepLines w:val="0"/>
        <w:spacing w:before="360" w:line="360" w:lineRule="auto"/>
        <w:jc w:val="both"/>
        <w:rPr>
          <w:rFonts w:ascii="Times New Roman" w:eastAsia="Times New Roman" w:hAnsi="Times New Roman" w:cs="Times New Roman"/>
          <w:b/>
          <w:color w:val="000000"/>
          <w:sz w:val="24"/>
          <w:szCs w:val="24"/>
        </w:rPr>
      </w:pPr>
      <w:bookmarkStart w:id="7" w:name="_heading=h.n639xkl9cpdq" w:colFirst="0" w:colLast="0"/>
      <w:bookmarkEnd w:id="7"/>
      <w:r>
        <w:rPr>
          <w:rFonts w:ascii="Times New Roman" w:eastAsia="Times New Roman" w:hAnsi="Times New Roman" w:cs="Times New Roman"/>
          <w:b/>
          <w:color w:val="000000"/>
          <w:sz w:val="24"/>
          <w:szCs w:val="24"/>
        </w:rPr>
        <w:t>Declarations</w:t>
      </w:r>
    </w:p>
    <w:p w14:paraId="6B20813E"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Ethics Statement: This study was conducted in compliance with the ethical standards of the University of Sussex and approved by the University Ethics Committee. Informed consent was obtained from all participants in this ethnographic fieldwork.</w:t>
      </w:r>
    </w:p>
    <w:p w14:paraId="590B1C43"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Funding Statement: This research was supported by the National Overseas Scholarship (2020–21) awarded by the Ministry of Tribal Affairs, Government of India. The funders had no role in the study design, data collection and analysis, or decision to publish or prepare the manuscript.</w:t>
      </w:r>
    </w:p>
    <w:p w14:paraId="1A481008"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Conflict of Interest Statement: The authors declare no competing interests or affiliations that could influence this research or its outcomes.</w:t>
      </w:r>
    </w:p>
    <w:p w14:paraId="599BC6A4" w14:textId="77777777" w:rsidR="003934E1" w:rsidRDefault="00000000">
      <w:pPr>
        <w:spacing w:before="240" w:after="240" w:line="360" w:lineRule="auto"/>
        <w:jc w:val="both"/>
        <w:rPr>
          <w:rFonts w:ascii="Times New Roman" w:eastAsia="Times New Roman" w:hAnsi="Times New Roman" w:cs="Times New Roman"/>
        </w:rPr>
        <w:sectPr w:rsidR="003934E1">
          <w:type w:val="continuous"/>
          <w:pgSz w:w="11900" w:h="16840"/>
          <w:pgMar w:top="1440" w:right="1440" w:bottom="1440" w:left="1440" w:header="720" w:footer="720" w:gutter="0"/>
          <w:cols w:space="720"/>
        </w:sectPr>
      </w:pPr>
      <w:r>
        <w:rPr>
          <w:rFonts w:ascii="Times New Roman" w:eastAsia="Times New Roman" w:hAnsi="Times New Roman" w:cs="Times New Roman"/>
        </w:rPr>
        <w:t>Data Access Statement: All relevant data supporting the findings of this study are available in this paper. Additional fieldwork notes and non-sensitive materials will be shared upon reasonable request.</w:t>
      </w:r>
    </w:p>
    <w:p w14:paraId="48206336" w14:textId="77777777" w:rsidR="003934E1" w:rsidRDefault="003934E1">
      <w:pPr>
        <w:spacing w:before="240" w:after="240" w:line="360" w:lineRule="auto"/>
        <w:jc w:val="both"/>
        <w:rPr>
          <w:rFonts w:ascii="Times New Roman" w:eastAsia="Times New Roman" w:hAnsi="Times New Roman" w:cs="Times New Roman"/>
        </w:rPr>
      </w:pPr>
    </w:p>
    <w:p w14:paraId="1D8ADC18" w14:textId="77777777" w:rsidR="003934E1" w:rsidRDefault="00000000">
      <w:pPr>
        <w:pStyle w:val="Heading2"/>
        <w:keepNext w:val="0"/>
        <w:keepLines w:val="0"/>
        <w:spacing w:before="360" w:line="360" w:lineRule="auto"/>
        <w:jc w:val="both"/>
        <w:rPr>
          <w:rFonts w:ascii="Times New Roman" w:eastAsia="Times New Roman" w:hAnsi="Times New Roman" w:cs="Times New Roman"/>
          <w:b/>
          <w:color w:val="000000"/>
          <w:sz w:val="24"/>
          <w:szCs w:val="24"/>
        </w:rPr>
      </w:pPr>
      <w:bookmarkStart w:id="8" w:name="_heading=h.nkz1eu6yaz0q" w:colFirst="0" w:colLast="0"/>
      <w:bookmarkEnd w:id="8"/>
      <w:r>
        <w:rPr>
          <w:rFonts w:ascii="Times New Roman" w:eastAsia="Times New Roman" w:hAnsi="Times New Roman" w:cs="Times New Roman"/>
          <w:b/>
          <w:color w:val="000000"/>
          <w:sz w:val="24"/>
          <w:szCs w:val="24"/>
        </w:rPr>
        <w:t>Introduction</w:t>
      </w:r>
    </w:p>
    <w:p w14:paraId="732A5783"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The relationship between Adivasi Indigenous communities and the state in India has been significantly influenced by colonial and post-colonial interventions. This study specifically examines the Ho Adivasis of Jharkhand, analysing how the governance structures initially imposed by the British continue to shape state-Adivasi relations.</w:t>
      </w:r>
    </w:p>
    <w:p w14:paraId="3A6C31C7"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This research underscores the persistence of colonial legacies in post-independence policies, including the ongoing application of Wilkinson’s Rules, and investigates diverse forms of Ho resistance and engagement which challenges the prevailing narratives of rebellion and passivity, advocating a decolonial perspective that centres on Ho’s experiences.</w:t>
      </w:r>
    </w:p>
    <w:p w14:paraId="63BE7C6D" w14:textId="77777777" w:rsidR="003934E1" w:rsidRDefault="00000000">
      <w:pPr>
        <w:spacing w:before="240" w:after="240" w:line="360" w:lineRule="auto"/>
        <w:jc w:val="both"/>
        <w:rPr>
          <w:rFonts w:ascii="Times New Roman" w:eastAsia="Times New Roman" w:hAnsi="Times New Roman" w:cs="Times New Roman"/>
        </w:rPr>
        <w:sectPr w:rsidR="003934E1">
          <w:type w:val="continuous"/>
          <w:pgSz w:w="11900" w:h="16840"/>
          <w:pgMar w:top="1440" w:right="1440" w:bottom="1440" w:left="1440" w:header="720" w:footer="720" w:gutter="0"/>
          <w:cols w:space="720"/>
        </w:sectPr>
      </w:pPr>
      <w:r>
        <w:rPr>
          <w:rFonts w:ascii="Times New Roman" w:eastAsia="Times New Roman" w:hAnsi="Times New Roman" w:cs="Times New Roman"/>
        </w:rPr>
        <w:t>Through archival and ethnographic methods, this study enhances our understanding of the complexities inherent in the Adivasi-state relationship, calling for policies and research that prioritise Adivasi voices, acknowledge historical injustices, and address the governance structures that marginalise Adivasi communities. These findings have broader implications for discussions on Adivasi Indigenous rights, autonomy, and the enduring effects of colonialism in India.</w:t>
      </w:r>
    </w:p>
    <w:p w14:paraId="1DB85956" w14:textId="77777777" w:rsidR="003934E1" w:rsidRDefault="003934E1">
      <w:pPr>
        <w:spacing w:before="240" w:after="240" w:line="360" w:lineRule="auto"/>
        <w:jc w:val="both"/>
        <w:rPr>
          <w:rFonts w:ascii="Times New Roman" w:eastAsia="Times New Roman" w:hAnsi="Times New Roman" w:cs="Times New Roman"/>
        </w:rPr>
      </w:pPr>
    </w:p>
    <w:p w14:paraId="4447F5C2" w14:textId="77777777" w:rsidR="003934E1" w:rsidRDefault="00000000">
      <w:pPr>
        <w:pStyle w:val="Heading2"/>
        <w:keepNext w:val="0"/>
        <w:keepLines w:val="0"/>
        <w:spacing w:before="360" w:line="360" w:lineRule="auto"/>
        <w:jc w:val="both"/>
        <w:rPr>
          <w:rFonts w:ascii="Times New Roman" w:eastAsia="Times New Roman" w:hAnsi="Times New Roman" w:cs="Times New Roman"/>
          <w:b/>
          <w:color w:val="000000"/>
          <w:sz w:val="24"/>
          <w:szCs w:val="24"/>
        </w:rPr>
      </w:pPr>
      <w:bookmarkStart w:id="9" w:name="_heading=h.7hwyokd90ih9" w:colFirst="0" w:colLast="0"/>
      <w:bookmarkEnd w:id="9"/>
      <w:r>
        <w:rPr>
          <w:rFonts w:ascii="Times New Roman" w:eastAsia="Times New Roman" w:hAnsi="Times New Roman" w:cs="Times New Roman"/>
          <w:b/>
          <w:color w:val="000000"/>
          <w:sz w:val="24"/>
          <w:szCs w:val="24"/>
        </w:rPr>
        <w:t>Colonial Contact and the Making of the ‘Larka Kol’</w:t>
      </w:r>
    </w:p>
    <w:p w14:paraId="17ABF230"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1820s represented a critical juncture in the history of the Ho Adivasi, as they engaged in sustained interactions with British colonial forces in the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region, which encompasses the present-day districts of West </w:t>
      </w:r>
      <w:proofErr w:type="spellStart"/>
      <w:r>
        <w:rPr>
          <w:rFonts w:ascii="Times New Roman" w:eastAsia="Times New Roman" w:hAnsi="Times New Roman" w:cs="Times New Roman"/>
        </w:rPr>
        <w:t>Singhbhum</w:t>
      </w:r>
      <w:proofErr w:type="spellEnd"/>
      <w:r>
        <w:rPr>
          <w:rFonts w:ascii="Times New Roman" w:eastAsia="Times New Roman" w:hAnsi="Times New Roman" w:cs="Times New Roman"/>
        </w:rPr>
        <w:t xml:space="preserve">, East </w:t>
      </w:r>
      <w:proofErr w:type="spellStart"/>
      <w:r>
        <w:rPr>
          <w:rFonts w:ascii="Times New Roman" w:eastAsia="Times New Roman" w:hAnsi="Times New Roman" w:cs="Times New Roman"/>
        </w:rPr>
        <w:t>Singhbhum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Seraikela-Kharsawan</w:t>
      </w:r>
      <w:proofErr w:type="spellEnd"/>
      <w:r>
        <w:rPr>
          <w:rFonts w:ascii="Times New Roman" w:eastAsia="Times New Roman" w:hAnsi="Times New Roman" w:cs="Times New Roman"/>
        </w:rPr>
        <w:t xml:space="preserve">. Local rulers, unable to subdue the autonomous </w:t>
      </w:r>
      <w:proofErr w:type="spellStart"/>
      <w:r>
        <w:rPr>
          <w:rFonts w:ascii="Times New Roman" w:eastAsia="Times New Roman" w:hAnsi="Times New Roman" w:cs="Times New Roman"/>
        </w:rPr>
        <w:t>Hos</w:t>
      </w:r>
      <w:proofErr w:type="spellEnd"/>
      <w:r>
        <w:rPr>
          <w:rFonts w:ascii="Times New Roman" w:eastAsia="Times New Roman" w:hAnsi="Times New Roman" w:cs="Times New Roman"/>
          <w:vertAlign w:val="superscript"/>
        </w:rPr>
        <w:footnoteReference w:id="40"/>
      </w:r>
      <w:r>
        <w:rPr>
          <w:rFonts w:ascii="Times New Roman" w:eastAsia="Times New Roman" w:hAnsi="Times New Roman" w:cs="Times New Roman"/>
        </w:rPr>
        <w:t>, solicited British military assistance</w:t>
      </w:r>
      <w:r>
        <w:rPr>
          <w:rFonts w:ascii="Times New Roman" w:eastAsia="Times New Roman" w:hAnsi="Times New Roman" w:cs="Times New Roman"/>
          <w:vertAlign w:val="superscript"/>
        </w:rPr>
        <w:footnoteReference w:id="41"/>
      </w:r>
      <w:r>
        <w:rPr>
          <w:rFonts w:ascii="Times New Roman" w:eastAsia="Times New Roman" w:hAnsi="Times New Roman" w:cs="Times New Roman"/>
        </w:rPr>
        <w:t xml:space="preserve"> to stabilise the region (Sen, 2008), thereby aligning colonial expansionist interests</w:t>
      </w:r>
      <w:r>
        <w:rPr>
          <w:rFonts w:ascii="Times New Roman" w:eastAsia="Times New Roman" w:hAnsi="Times New Roman" w:cs="Times New Roman"/>
          <w:vertAlign w:val="superscript"/>
        </w:rPr>
        <w:footnoteReference w:id="42"/>
      </w:r>
      <w:r>
        <w:rPr>
          <w:rFonts w:ascii="Times New Roman" w:eastAsia="Times New Roman" w:hAnsi="Times New Roman" w:cs="Times New Roman"/>
        </w:rPr>
        <w:t xml:space="preserve"> with the subjugation of the Indigenous population.</w:t>
      </w:r>
    </w:p>
    <w:p w14:paraId="3A76E5B1"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During the military operations of the 1820s, the </w:t>
      </w:r>
      <w:proofErr w:type="spellStart"/>
      <w:r>
        <w:rPr>
          <w:rFonts w:ascii="Times New Roman" w:eastAsia="Times New Roman" w:hAnsi="Times New Roman" w:cs="Times New Roman"/>
        </w:rPr>
        <w:t>Hos</w:t>
      </w:r>
      <w:proofErr w:type="spellEnd"/>
      <w:r>
        <w:rPr>
          <w:rFonts w:ascii="Times New Roman" w:eastAsia="Times New Roman" w:hAnsi="Times New Roman" w:cs="Times New Roman"/>
        </w:rPr>
        <w:t xml:space="preserve"> were made to surrender to avoid extermination, and an infamous agreement</w:t>
      </w:r>
      <w:r>
        <w:rPr>
          <w:rFonts w:ascii="Times New Roman" w:eastAsia="Times New Roman" w:hAnsi="Times New Roman" w:cs="Times New Roman"/>
          <w:vertAlign w:val="superscript"/>
        </w:rPr>
        <w:footnoteReference w:id="43"/>
      </w:r>
      <w:r>
        <w:rPr>
          <w:rFonts w:ascii="Times New Roman" w:eastAsia="Times New Roman" w:hAnsi="Times New Roman" w:cs="Times New Roman"/>
        </w:rPr>
        <w:t xml:space="preserve"> was made with the vanquished </w:t>
      </w:r>
      <w:proofErr w:type="spellStart"/>
      <w:r>
        <w:rPr>
          <w:rFonts w:ascii="Times New Roman" w:eastAsia="Times New Roman" w:hAnsi="Times New Roman" w:cs="Times New Roman"/>
        </w:rPr>
        <w:t>Hos</w:t>
      </w:r>
      <w:proofErr w:type="spellEnd"/>
      <w:r>
        <w:rPr>
          <w:rFonts w:ascii="Times New Roman" w:eastAsia="Times New Roman" w:hAnsi="Times New Roman" w:cs="Times New Roman"/>
        </w:rPr>
        <w:t xml:space="preserve"> in May 1821 (Sahu 1985; Sen 2014). This collaboration resulted in a system of indirect rule, wherein local rulers collected revenue from Ho villages through zamindars and remitted a portion of it to the colonial state. In return, the British supported them with military and artillery. </w:t>
      </w:r>
    </w:p>
    <w:p w14:paraId="7E56915C"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Cultural assimilation was initiated through the imposition of Hindi and Oriya in educational institutions and the settlement of ‘</w:t>
      </w:r>
      <w:proofErr w:type="spellStart"/>
      <w:r>
        <w:rPr>
          <w:rFonts w:ascii="Times New Roman" w:eastAsia="Times New Roman" w:hAnsi="Times New Roman" w:cs="Times New Roman"/>
        </w:rPr>
        <w:t>dikus</w:t>
      </w:r>
      <w:proofErr w:type="spellEnd"/>
      <w:r>
        <w:rPr>
          <w:rFonts w:ascii="Times New Roman" w:eastAsia="Times New Roman" w:hAnsi="Times New Roman" w:cs="Times New Roman"/>
        </w:rPr>
        <w:t xml:space="preserve">’ (outsiders) in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region</w:t>
      </w:r>
      <w:r>
        <w:rPr>
          <w:rFonts w:ascii="Times New Roman" w:eastAsia="Times New Roman" w:hAnsi="Times New Roman" w:cs="Times New Roman"/>
          <w:vertAlign w:val="superscript"/>
        </w:rPr>
        <w:footnoteReference w:id="44"/>
      </w:r>
      <w:r>
        <w:rPr>
          <w:rFonts w:ascii="Times New Roman" w:eastAsia="Times New Roman" w:hAnsi="Times New Roman" w:cs="Times New Roman"/>
        </w:rPr>
        <w:t xml:space="preserve">. There was calm for about a decade, but due to the oppression of zamindars, the </w:t>
      </w:r>
      <w:proofErr w:type="spellStart"/>
      <w:r>
        <w:rPr>
          <w:rFonts w:ascii="Times New Roman" w:eastAsia="Times New Roman" w:hAnsi="Times New Roman" w:cs="Times New Roman"/>
        </w:rPr>
        <w:t>Hos</w:t>
      </w:r>
      <w:proofErr w:type="spellEnd"/>
      <w:r>
        <w:rPr>
          <w:rFonts w:ascii="Times New Roman" w:eastAsia="Times New Roman" w:hAnsi="Times New Roman" w:cs="Times New Roman"/>
        </w:rPr>
        <w:t xml:space="preserve"> resisted by refusing to pay taxes and challenging oppressive landlords. By the early 1830s, retaliatory raids on zamindari villages became widespread, prompting the British to intensify military intervention. Villages were destroyed, lives were lost, and the region descended into chaos as the war continued. The </w:t>
      </w:r>
      <w:proofErr w:type="spellStart"/>
      <w:r>
        <w:rPr>
          <w:rFonts w:ascii="Times New Roman" w:eastAsia="Times New Roman" w:hAnsi="Times New Roman" w:cs="Times New Roman"/>
        </w:rPr>
        <w:t>Hos</w:t>
      </w:r>
      <w:proofErr w:type="spellEnd"/>
      <w:r>
        <w:rPr>
          <w:rFonts w:ascii="Times New Roman" w:eastAsia="Times New Roman" w:hAnsi="Times New Roman" w:cs="Times New Roman"/>
        </w:rPr>
        <w:t xml:space="preserve"> participated in the Kol Rebellion (1831–33) alongside other Adivasi groups</w:t>
      </w:r>
      <w:r>
        <w:rPr>
          <w:rFonts w:ascii="Times New Roman" w:eastAsia="Times New Roman" w:hAnsi="Times New Roman" w:cs="Times New Roman"/>
          <w:vertAlign w:val="superscript"/>
        </w:rPr>
        <w:footnoteReference w:id="45"/>
      </w:r>
      <w:r>
        <w:rPr>
          <w:rFonts w:ascii="Times New Roman" w:eastAsia="Times New Roman" w:hAnsi="Times New Roman" w:cs="Times New Roman"/>
        </w:rPr>
        <w:t xml:space="preserve"> as a direct response to the erosion of political autonomy, land dispossession and general dissatisfaction with the arrangement in the region (Jha, 1958 ;Kumar, 2001).</w:t>
      </w:r>
    </w:p>
    <w:p w14:paraId="5A13835C"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Although the rebellion was ultimately suppressed, </w:t>
      </w:r>
      <w:proofErr w:type="spellStart"/>
      <w:r>
        <w:rPr>
          <w:rFonts w:ascii="Times New Roman" w:eastAsia="Times New Roman" w:hAnsi="Times New Roman" w:cs="Times New Roman"/>
        </w:rPr>
        <w:t>Hos</w:t>
      </w:r>
      <w:proofErr w:type="spellEnd"/>
      <w:r>
        <w:rPr>
          <w:rFonts w:ascii="Times New Roman" w:eastAsia="Times New Roman" w:hAnsi="Times New Roman" w:cs="Times New Roman"/>
        </w:rPr>
        <w:t xml:space="preserve"> determination persisted. In 1833–34, armed with traditional weapons, they confronted British troops once more, leading to bloody battles in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One of the most significant sites of resistance was the </w:t>
      </w:r>
      <w:proofErr w:type="spellStart"/>
      <w:r>
        <w:rPr>
          <w:rFonts w:ascii="Times New Roman" w:eastAsia="Times New Roman" w:hAnsi="Times New Roman" w:cs="Times New Roman"/>
        </w:rPr>
        <w:t>Serengsia</w:t>
      </w:r>
      <w:proofErr w:type="spellEnd"/>
      <w:r>
        <w:rPr>
          <w:rFonts w:ascii="Times New Roman" w:eastAsia="Times New Roman" w:hAnsi="Times New Roman" w:cs="Times New Roman"/>
        </w:rPr>
        <w:t xml:space="preserve"> Valley, approximately 30 km from </w:t>
      </w:r>
      <w:proofErr w:type="spellStart"/>
      <w:r>
        <w:rPr>
          <w:rFonts w:ascii="Times New Roman" w:eastAsia="Times New Roman" w:hAnsi="Times New Roman" w:cs="Times New Roman"/>
        </w:rPr>
        <w:t>Chaibasa</w:t>
      </w:r>
      <w:proofErr w:type="spellEnd"/>
      <w:r>
        <w:rPr>
          <w:rFonts w:ascii="Times New Roman" w:eastAsia="Times New Roman" w:hAnsi="Times New Roman" w:cs="Times New Roman"/>
        </w:rPr>
        <w:t xml:space="preserve">, where, under leaders such as </w:t>
      </w:r>
      <w:proofErr w:type="spellStart"/>
      <w:r>
        <w:rPr>
          <w:rFonts w:ascii="Times New Roman" w:eastAsia="Times New Roman" w:hAnsi="Times New Roman" w:cs="Times New Roman"/>
        </w:rPr>
        <w:t>Poto</w:t>
      </w:r>
      <w:proofErr w:type="spellEnd"/>
      <w:r>
        <w:rPr>
          <w:rFonts w:ascii="Times New Roman" w:eastAsia="Times New Roman" w:hAnsi="Times New Roman" w:cs="Times New Roman"/>
        </w:rPr>
        <w:t xml:space="preserve"> Ho, the community ambushed and decimated an entire British detachment, marking one of the few recorded Adivasi victories against the colonial military (Nath &amp; Kumari, 2019; </w:t>
      </w:r>
      <w:proofErr w:type="spellStart"/>
      <w:r>
        <w:rPr>
          <w:rFonts w:ascii="Times New Roman" w:eastAsia="Times New Roman" w:hAnsi="Times New Roman" w:cs="Times New Roman"/>
        </w:rPr>
        <w:t>Streumer</w:t>
      </w:r>
      <w:proofErr w:type="spellEnd"/>
      <w:r>
        <w:rPr>
          <w:rFonts w:ascii="Times New Roman" w:eastAsia="Times New Roman" w:hAnsi="Times New Roman" w:cs="Times New Roman"/>
        </w:rPr>
        <w:t xml:space="preserve">, 2021). Despite suffering heavy losses, including the burning of villages and public executions of Ho leaders, the memory of </w:t>
      </w:r>
      <w:proofErr w:type="spellStart"/>
      <w:r>
        <w:rPr>
          <w:rFonts w:ascii="Times New Roman" w:eastAsia="Times New Roman" w:hAnsi="Times New Roman" w:cs="Times New Roman"/>
        </w:rPr>
        <w:t>Serengsia</w:t>
      </w:r>
      <w:proofErr w:type="spellEnd"/>
      <w:r>
        <w:rPr>
          <w:rFonts w:ascii="Times New Roman" w:eastAsia="Times New Roman" w:hAnsi="Times New Roman" w:cs="Times New Roman"/>
        </w:rPr>
        <w:t xml:space="preserve"> remains central to the Ho identity. Every January 2nd, communities gather to commemorate this victory, reinforcing the collective memory and </w:t>
      </w:r>
      <w:proofErr w:type="spellStart"/>
      <w:r>
        <w:rPr>
          <w:rFonts w:ascii="Times New Roman" w:eastAsia="Times New Roman" w:hAnsi="Times New Roman" w:cs="Times New Roman"/>
        </w:rPr>
        <w:t>Hos</w:t>
      </w:r>
      <w:proofErr w:type="spellEnd"/>
      <w:r>
        <w:rPr>
          <w:rFonts w:ascii="Times New Roman" w:eastAsia="Times New Roman" w:hAnsi="Times New Roman" w:cs="Times New Roman"/>
        </w:rPr>
        <w:t xml:space="preserve"> resistance against the colonial forces (Bhaskar News, 2017).</w:t>
      </w:r>
    </w:p>
    <w:p w14:paraId="39A353E3"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After the revolt, the British response shifted from military suppression to administrative control. From 1821, the British began implementing pseudo-administrative arrangements that placed the Ho under nominal Singh rulers, effectively bringing them under British authority. Persistent resistance culminated in the 1837 capitulation to Captain Thomas Wilkinson, who introduced the non-regulation system of administration</w:t>
      </w:r>
      <w:r>
        <w:rPr>
          <w:rFonts w:ascii="Times New Roman" w:eastAsia="Times New Roman" w:hAnsi="Times New Roman" w:cs="Times New Roman"/>
          <w:vertAlign w:val="superscript"/>
        </w:rPr>
        <w:footnoteReference w:id="46"/>
      </w:r>
      <w:r>
        <w:rPr>
          <w:rFonts w:ascii="Times New Roman" w:eastAsia="Times New Roman" w:hAnsi="Times New Roman" w:cs="Times New Roman"/>
        </w:rPr>
        <w:t xml:space="preserve"> and Wilkinson’s Rules. This marked the transformation of the Ho from autonomous communities to colonial subjects governed by paternalistic frameworks.</w:t>
      </w:r>
    </w:p>
    <w:p w14:paraId="49D601C8"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Colonial narratives constructed the term “Larka Kol”, meaning “fighting Kol”, to portray the Ho people as savage and uncontrollable. </w:t>
      </w:r>
      <w:proofErr w:type="spellStart"/>
      <w:r>
        <w:rPr>
          <w:rFonts w:ascii="Times New Roman" w:eastAsia="Times New Roman" w:hAnsi="Times New Roman" w:cs="Times New Roman"/>
        </w:rPr>
        <w:t>Singhbhum</w:t>
      </w:r>
      <w:proofErr w:type="spellEnd"/>
      <w:r>
        <w:rPr>
          <w:rFonts w:ascii="Times New Roman" w:eastAsia="Times New Roman" w:hAnsi="Times New Roman" w:cs="Times New Roman"/>
        </w:rPr>
        <w:t xml:space="preserve"> was called ‘terra incognita’, an unknown and perilous region. This characterisation justifies the implementation of exceptional military and administrative interventions to control the region’s population growth.</w:t>
      </w:r>
    </w:p>
    <w:p w14:paraId="320F3916"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British portrayal of Ho as barbaric obscured the political consciousness that underlay this resistance. Ho defiance was not aimless violence but a strategic </w:t>
      </w:r>
      <w:proofErr w:type="spellStart"/>
      <w:r>
        <w:rPr>
          <w:rFonts w:ascii="Times New Roman" w:eastAsia="Times New Roman" w:hAnsi="Times New Roman" w:cs="Times New Roman"/>
        </w:rPr>
        <w:t>defense</w:t>
      </w:r>
      <w:proofErr w:type="spellEnd"/>
      <w:r>
        <w:rPr>
          <w:rFonts w:ascii="Times New Roman" w:eastAsia="Times New Roman" w:hAnsi="Times New Roman" w:cs="Times New Roman"/>
        </w:rPr>
        <w:t xml:space="preserve"> of their land, lives, and dignity against invasive state structures. The colonial construction of the “Larka Kol” reflected and reinforced colonial anxieties regarding Adivasi Indigenous communities in India.</w:t>
      </w:r>
    </w:p>
    <w:p w14:paraId="0D0DDC42"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transition to Wilkinson’s rules symbolised the British shift to governance, which superficially recognised customary governance structures while maintaining extractive control. Although the Ho were nominally included through their village headmen, actual power resided with colonial administrators, marking the onset of prolonged governance characterised by a </w:t>
      </w:r>
      <w:r>
        <w:rPr>
          <w:rFonts w:ascii="Times New Roman" w:eastAsia="Times New Roman" w:hAnsi="Times New Roman" w:cs="Times New Roman"/>
        </w:rPr>
        <w:lastRenderedPageBreak/>
        <w:t>paradox of protection and domination–a dynamic that would persist into the post-independence period.</w:t>
      </w:r>
    </w:p>
    <w:p w14:paraId="67C78C97" w14:textId="77777777" w:rsidR="003934E1" w:rsidRDefault="003934E1">
      <w:pPr>
        <w:spacing w:before="240" w:after="240" w:line="360" w:lineRule="auto"/>
        <w:jc w:val="both"/>
        <w:rPr>
          <w:rFonts w:ascii="Times New Roman" w:eastAsia="Times New Roman" w:hAnsi="Times New Roman" w:cs="Times New Roman"/>
          <w:b/>
        </w:rPr>
      </w:pPr>
    </w:p>
    <w:p w14:paraId="6D697B08" w14:textId="77777777" w:rsidR="003934E1" w:rsidRDefault="00000000">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The </w:t>
      </w:r>
      <w:proofErr w:type="spellStart"/>
      <w:r>
        <w:rPr>
          <w:rFonts w:ascii="Times New Roman" w:eastAsia="Times New Roman" w:hAnsi="Times New Roman" w:cs="Times New Roman"/>
          <w:b/>
        </w:rPr>
        <w:t>Kolhan</w:t>
      </w:r>
      <w:proofErr w:type="spellEnd"/>
      <w:r>
        <w:rPr>
          <w:rFonts w:ascii="Times New Roman" w:eastAsia="Times New Roman" w:hAnsi="Times New Roman" w:cs="Times New Roman"/>
          <w:b/>
        </w:rPr>
        <w:t xml:space="preserve"> Government Estate, Survey Settlements and the </w:t>
      </w:r>
      <w:proofErr w:type="spellStart"/>
      <w:r>
        <w:rPr>
          <w:rFonts w:ascii="Times New Roman" w:eastAsia="Times New Roman" w:hAnsi="Times New Roman" w:cs="Times New Roman"/>
          <w:b/>
        </w:rPr>
        <w:t>Nyay</w:t>
      </w:r>
      <w:proofErr w:type="spellEnd"/>
      <w:r>
        <w:rPr>
          <w:rFonts w:ascii="Times New Roman" w:eastAsia="Times New Roman" w:hAnsi="Times New Roman" w:cs="Times New Roman"/>
          <w:b/>
        </w:rPr>
        <w:t xml:space="preserve"> </w:t>
      </w:r>
      <w:proofErr w:type="spellStart"/>
      <w:r>
        <w:rPr>
          <w:rFonts w:ascii="Times New Roman" w:eastAsia="Times New Roman" w:hAnsi="Times New Roman" w:cs="Times New Roman"/>
          <w:b/>
        </w:rPr>
        <w:t>Panch</w:t>
      </w:r>
      <w:proofErr w:type="spellEnd"/>
      <w:r>
        <w:rPr>
          <w:rFonts w:ascii="Times New Roman" w:eastAsia="Times New Roman" w:hAnsi="Times New Roman" w:cs="Times New Roman"/>
          <w:b/>
        </w:rPr>
        <w:t xml:space="preserve"> System</w:t>
      </w:r>
    </w:p>
    <w:p w14:paraId="02A1DD9E" w14:textId="77777777" w:rsidR="003934E1"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When Captain Thomas Wilkinson suppressed Ho resistance in 1837, he established a new administrative epoch in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The region became a non-regulation tract under colonial authority, designated as the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Government Estate (K.G.E.)</w:t>
      </w:r>
      <w:r>
        <w:rPr>
          <w:rFonts w:ascii="Times New Roman" w:eastAsia="Times New Roman" w:hAnsi="Times New Roman" w:cs="Times New Roman"/>
          <w:vertAlign w:val="superscript"/>
        </w:rPr>
        <w:footnoteReference w:id="47"/>
      </w:r>
      <w:r>
        <w:rPr>
          <w:rFonts w:ascii="Times New Roman" w:eastAsia="Times New Roman" w:hAnsi="Times New Roman" w:cs="Times New Roman"/>
        </w:rPr>
        <w:t xml:space="preserve">, comprising 911 villages across West and East </w:t>
      </w:r>
      <w:proofErr w:type="spellStart"/>
      <w:r>
        <w:rPr>
          <w:rFonts w:ascii="Times New Roman" w:eastAsia="Times New Roman" w:hAnsi="Times New Roman" w:cs="Times New Roman"/>
        </w:rPr>
        <w:t>Singhbhum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Seraikela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Kharsawan</w:t>
      </w:r>
      <w:proofErr w:type="spellEnd"/>
      <w:r>
        <w:rPr>
          <w:rFonts w:ascii="Times New Roman" w:eastAsia="Times New Roman" w:hAnsi="Times New Roman" w:cs="Times New Roman"/>
        </w:rPr>
        <w:t>. Wilkinson's Rules, a set of 31 rules, were designed to control land, revenue, and customary authority.</w:t>
      </w:r>
    </w:p>
    <w:p w14:paraId="16BFA5AE" w14:textId="77777777" w:rsidR="003934E1" w:rsidRDefault="003934E1">
      <w:pPr>
        <w:spacing w:before="240" w:after="240" w:line="276" w:lineRule="auto"/>
        <w:jc w:val="both"/>
        <w:rPr>
          <w:rFonts w:ascii="Times New Roman" w:eastAsia="Times New Roman" w:hAnsi="Times New Roman" w:cs="Times New Roman"/>
        </w:rPr>
      </w:pPr>
    </w:p>
    <w:p w14:paraId="5143CF4A" w14:textId="77777777" w:rsidR="003934E1" w:rsidRDefault="00000000">
      <w:pPr>
        <w:spacing w:before="240" w:after="240" w:line="276" w:lineRule="auto"/>
        <w:jc w:val="both"/>
        <w:rPr>
          <w:rFonts w:ascii="Times New Roman" w:eastAsia="Times New Roman" w:hAnsi="Times New Roman" w:cs="Times New Roman"/>
          <w:i/>
        </w:rPr>
      </w:pPr>
      <w:r>
        <w:rPr>
          <w:rFonts w:ascii="Times New Roman" w:eastAsia="Times New Roman" w:hAnsi="Times New Roman" w:cs="Times New Roman"/>
          <w:i/>
        </w:rPr>
        <w:t>The Paradox of Protection and Extraction</w:t>
      </w:r>
    </w:p>
    <w:p w14:paraId="31743AE0" w14:textId="77777777" w:rsidR="003934E1"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While the British portrayed the K.G.E. as a protectorate shielding </w:t>
      </w:r>
      <w:proofErr w:type="spellStart"/>
      <w:r>
        <w:rPr>
          <w:rFonts w:ascii="Times New Roman" w:eastAsia="Times New Roman" w:hAnsi="Times New Roman" w:cs="Times New Roman"/>
        </w:rPr>
        <w:t>Hos</w:t>
      </w:r>
      <w:proofErr w:type="spellEnd"/>
      <w:r>
        <w:rPr>
          <w:rFonts w:ascii="Times New Roman" w:eastAsia="Times New Roman" w:hAnsi="Times New Roman" w:cs="Times New Roman"/>
        </w:rPr>
        <w:t xml:space="preserve"> from abusive zamindars and outsiders, it formalised rent extraction.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Mankis</w:t>
      </w:r>
      <w:proofErr w:type="spellEnd"/>
      <w:r>
        <w:rPr>
          <w:rFonts w:ascii="Times New Roman" w:eastAsia="Times New Roman" w:hAnsi="Times New Roman" w:cs="Times New Roman"/>
        </w:rPr>
        <w:t xml:space="preserve"> became colonial intermediaries tasked with imposing rents and enforcing compliance. Their enhanced authority came with colonial oversight and noncompliance led to punitive actions, including property seizure and dismissal</w:t>
      </w:r>
      <w:r>
        <w:rPr>
          <w:rFonts w:ascii="Times New Roman" w:eastAsia="Times New Roman" w:hAnsi="Times New Roman" w:cs="Times New Roman"/>
          <w:vertAlign w:val="superscript"/>
        </w:rPr>
        <w:footnoteReference w:id="48"/>
      </w:r>
      <w:r>
        <w:rPr>
          <w:rFonts w:ascii="Times New Roman" w:eastAsia="Times New Roman" w:hAnsi="Times New Roman" w:cs="Times New Roman"/>
        </w:rPr>
        <w:t>.</w:t>
      </w:r>
    </w:p>
    <w:p w14:paraId="530379EB" w14:textId="77777777" w:rsidR="003934E1" w:rsidRDefault="003934E1">
      <w:pPr>
        <w:spacing w:before="240" w:after="240" w:line="276" w:lineRule="auto"/>
        <w:jc w:val="both"/>
        <w:rPr>
          <w:rFonts w:ascii="Times New Roman" w:eastAsia="Times New Roman" w:hAnsi="Times New Roman" w:cs="Times New Roman"/>
          <w:i/>
        </w:rPr>
      </w:pPr>
    </w:p>
    <w:p w14:paraId="4768FE58" w14:textId="77777777" w:rsidR="003934E1" w:rsidRDefault="00000000">
      <w:pPr>
        <w:spacing w:before="240" w:after="240" w:line="276" w:lineRule="auto"/>
        <w:jc w:val="both"/>
        <w:rPr>
          <w:rFonts w:ascii="Times New Roman" w:eastAsia="Times New Roman" w:hAnsi="Times New Roman" w:cs="Times New Roman"/>
          <w:i/>
        </w:rPr>
      </w:pPr>
      <w:r>
        <w:rPr>
          <w:rFonts w:ascii="Times New Roman" w:eastAsia="Times New Roman" w:hAnsi="Times New Roman" w:cs="Times New Roman"/>
          <w:i/>
        </w:rPr>
        <w:t>Land Settlements: Codifying Exploitation</w:t>
      </w:r>
    </w:p>
    <w:p w14:paraId="21F244DF" w14:textId="77777777" w:rsidR="003934E1"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Land settlement records from 1837 show rapid revenue increases:₹5,108 (1837–38); ₹6,500 (1838–39); ₹8,523 (1852–53); ₹17,448 (1855)</w:t>
      </w:r>
      <w:r>
        <w:rPr>
          <w:rFonts w:ascii="Times New Roman" w:eastAsia="Times New Roman" w:hAnsi="Times New Roman" w:cs="Times New Roman"/>
          <w:vertAlign w:val="superscript"/>
        </w:rPr>
        <w:footnoteReference w:id="49"/>
      </w:r>
      <w:r>
        <w:rPr>
          <w:rFonts w:ascii="Times New Roman" w:eastAsia="Times New Roman" w:hAnsi="Times New Roman" w:cs="Times New Roman"/>
        </w:rPr>
        <w:t>.</w:t>
      </w:r>
    </w:p>
    <w:p w14:paraId="6648DCC0" w14:textId="77777777" w:rsidR="003934E1"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These increases stemmed from colonial efforts to commodify the land. Administrative tools- annual </w:t>
      </w:r>
      <w:proofErr w:type="spellStart"/>
      <w:r>
        <w:rPr>
          <w:rFonts w:ascii="Times New Roman" w:eastAsia="Times New Roman" w:hAnsi="Times New Roman" w:cs="Times New Roman"/>
        </w:rPr>
        <w:t>pattas</w:t>
      </w:r>
      <w:proofErr w:type="spellEnd"/>
      <w:r>
        <w:rPr>
          <w:rFonts w:ascii="Times New Roman" w:eastAsia="Times New Roman" w:hAnsi="Times New Roman" w:cs="Times New Roman"/>
        </w:rPr>
        <w:t>, land classification into categories, and differentiation between resident and non-resident raiyats–transformed Adivasi relationships with land from communal stewardship to tax units.</w:t>
      </w:r>
    </w:p>
    <w:p w14:paraId="1449A55E" w14:textId="77777777" w:rsidR="003934E1"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The Craven Settlement of 1897 deepened this inequality. It surveyed village forests and increased revenue at the expense of subsistence resources. Craven's surveys showed non-Adivasi settlers (</w:t>
      </w:r>
      <w:proofErr w:type="spellStart"/>
      <w:r>
        <w:rPr>
          <w:rFonts w:ascii="Times New Roman" w:eastAsia="Times New Roman" w:hAnsi="Times New Roman" w:cs="Times New Roman"/>
        </w:rPr>
        <w:t>Dikus</w:t>
      </w:r>
      <w:proofErr w:type="spellEnd"/>
      <w:r>
        <w:rPr>
          <w:rFonts w:ascii="Times New Roman" w:eastAsia="Times New Roman" w:hAnsi="Times New Roman" w:cs="Times New Roman"/>
        </w:rPr>
        <w:t>) increasing from 1,579 in 1867 to 15,755 in 1897</w:t>
      </w:r>
      <w:r>
        <w:rPr>
          <w:rFonts w:ascii="Times New Roman" w:eastAsia="Times New Roman" w:hAnsi="Times New Roman" w:cs="Times New Roman"/>
          <w:vertAlign w:val="superscript"/>
        </w:rPr>
        <w:footnoteReference w:id="50"/>
      </w:r>
      <w:r>
        <w:rPr>
          <w:rFonts w:ascii="Times New Roman" w:eastAsia="Times New Roman" w:hAnsi="Times New Roman" w:cs="Times New Roman"/>
        </w:rPr>
        <w:t xml:space="preserve">. Many land transfers were undervalued and sometimes traded for livestock or paddy. The 1903 decree required </w:t>
      </w:r>
      <w:r>
        <w:rPr>
          <w:rFonts w:ascii="Times New Roman" w:eastAsia="Times New Roman" w:hAnsi="Times New Roman" w:cs="Times New Roman"/>
        </w:rPr>
        <w:lastRenderedPageBreak/>
        <w:t>Deputy Commissioner approval for land transfers and Munda-</w:t>
      </w:r>
      <w:proofErr w:type="spellStart"/>
      <w:r>
        <w:rPr>
          <w:rFonts w:ascii="Times New Roman" w:eastAsia="Times New Roman" w:hAnsi="Times New Roman" w:cs="Times New Roman"/>
        </w:rPr>
        <w:t>Manki</w:t>
      </w:r>
      <w:proofErr w:type="spellEnd"/>
      <w:r>
        <w:rPr>
          <w:rFonts w:ascii="Times New Roman" w:eastAsia="Times New Roman" w:hAnsi="Times New Roman" w:cs="Times New Roman"/>
        </w:rPr>
        <w:t xml:space="preserve"> reporting—ostensibly protective but legitimising colonial land markets–by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w:t>
      </w:r>
    </w:p>
    <w:p w14:paraId="6859C509" w14:textId="77777777" w:rsidR="003934E1"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Tuckey Settlement of 1918, under the CNT Act (1908), maintained Craven's classifications and introduced differential rent—charging </w:t>
      </w:r>
      <w:proofErr w:type="spellStart"/>
      <w:r>
        <w:rPr>
          <w:rFonts w:ascii="Times New Roman" w:eastAsia="Times New Roman" w:hAnsi="Times New Roman" w:cs="Times New Roman"/>
        </w:rPr>
        <w:t>Dikus</w:t>
      </w:r>
      <w:proofErr w:type="spellEnd"/>
      <w:r>
        <w:rPr>
          <w:rFonts w:ascii="Times New Roman" w:eastAsia="Times New Roman" w:hAnsi="Times New Roman" w:cs="Times New Roman"/>
        </w:rPr>
        <w:t xml:space="preserve"> double the Adivasi rates</w:t>
      </w:r>
      <w:r>
        <w:rPr>
          <w:rFonts w:ascii="Times New Roman" w:eastAsia="Times New Roman" w:hAnsi="Times New Roman" w:cs="Times New Roman"/>
          <w:vertAlign w:val="superscript"/>
        </w:rPr>
        <w:footnoteReference w:id="51"/>
      </w:r>
      <w:r>
        <w:rPr>
          <w:rFonts w:ascii="Times New Roman" w:eastAsia="Times New Roman" w:hAnsi="Times New Roman" w:cs="Times New Roman"/>
        </w:rPr>
        <w:t xml:space="preserve">. While this was envisioned to reduce the alienation of the </w:t>
      </w:r>
      <w:proofErr w:type="spellStart"/>
      <w:r>
        <w:rPr>
          <w:rFonts w:ascii="Times New Roman" w:eastAsia="Times New Roman" w:hAnsi="Times New Roman" w:cs="Times New Roman"/>
        </w:rPr>
        <w:t>Hos</w:t>
      </w:r>
      <w:proofErr w:type="spellEnd"/>
      <w:r>
        <w:rPr>
          <w:rFonts w:ascii="Times New Roman" w:eastAsia="Times New Roman" w:hAnsi="Times New Roman" w:cs="Times New Roman"/>
        </w:rPr>
        <w:t>, the system remained extractive. A 1940 rent reduction provided relief but also preserved foundational inequities.</w:t>
      </w:r>
    </w:p>
    <w:p w14:paraId="56E8EBD2" w14:textId="77777777" w:rsidR="003934E1" w:rsidRDefault="003934E1">
      <w:pPr>
        <w:spacing w:before="240" w:after="240" w:line="276" w:lineRule="auto"/>
        <w:jc w:val="both"/>
        <w:rPr>
          <w:rFonts w:ascii="Times New Roman" w:eastAsia="Times New Roman" w:hAnsi="Times New Roman" w:cs="Times New Roman"/>
        </w:rPr>
      </w:pPr>
    </w:p>
    <w:p w14:paraId="40ABB34D" w14:textId="77777777" w:rsidR="003934E1" w:rsidRDefault="00000000">
      <w:pPr>
        <w:spacing w:before="240" w:after="240" w:line="276" w:lineRule="auto"/>
        <w:jc w:val="both"/>
        <w:rPr>
          <w:rFonts w:ascii="Times New Roman" w:eastAsia="Times New Roman" w:hAnsi="Times New Roman" w:cs="Times New Roman"/>
          <w:i/>
        </w:rPr>
      </w:pPr>
      <w:r>
        <w:rPr>
          <w:rFonts w:ascii="Times New Roman" w:eastAsia="Times New Roman" w:hAnsi="Times New Roman" w:cs="Times New Roman"/>
          <w:i/>
        </w:rPr>
        <w:t>Colonial Customary Governance</w:t>
      </w:r>
    </w:p>
    <w:p w14:paraId="160A6CEA" w14:textId="77777777" w:rsidR="003934E1"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K.G.E. projected Adivasi inclusion through customary authority while curtailing it. Munda </w:t>
      </w:r>
      <w:proofErr w:type="spellStart"/>
      <w:r>
        <w:rPr>
          <w:rFonts w:ascii="Times New Roman" w:eastAsia="Times New Roman" w:hAnsi="Times New Roman" w:cs="Times New Roman"/>
        </w:rPr>
        <w:t>Mankis</w:t>
      </w:r>
      <w:proofErr w:type="spellEnd"/>
      <w:r>
        <w:rPr>
          <w:rFonts w:ascii="Times New Roman" w:eastAsia="Times New Roman" w:hAnsi="Times New Roman" w:cs="Times New Roman"/>
        </w:rPr>
        <w:t xml:space="preserve"> retained police jurisdiction within regulated limits. Customary autonomy depended on colonial sanction, not community legitimacy, a hallmark of colonial protection: agents of governance and extraction.</w:t>
      </w:r>
    </w:p>
    <w:p w14:paraId="2900FB9D" w14:textId="77777777" w:rsidR="003934E1" w:rsidRDefault="003934E1">
      <w:pPr>
        <w:spacing w:before="240" w:after="240" w:line="276" w:lineRule="auto"/>
        <w:jc w:val="both"/>
        <w:rPr>
          <w:rFonts w:ascii="Times New Roman" w:eastAsia="Times New Roman" w:hAnsi="Times New Roman" w:cs="Times New Roman"/>
        </w:rPr>
      </w:pPr>
    </w:p>
    <w:p w14:paraId="25C18F20" w14:textId="77777777" w:rsidR="003934E1" w:rsidRDefault="00000000">
      <w:pPr>
        <w:spacing w:before="240" w:after="240" w:line="276" w:lineRule="auto"/>
        <w:jc w:val="both"/>
        <w:rPr>
          <w:rFonts w:ascii="Times New Roman" w:eastAsia="Times New Roman" w:hAnsi="Times New Roman" w:cs="Times New Roman"/>
          <w:i/>
        </w:rPr>
      </w:pPr>
      <w:r>
        <w:rPr>
          <w:rFonts w:ascii="Times New Roman" w:eastAsia="Times New Roman" w:hAnsi="Times New Roman" w:cs="Times New Roman"/>
          <w:i/>
        </w:rPr>
        <w:t xml:space="preserve">The </w:t>
      </w:r>
      <w:proofErr w:type="spellStart"/>
      <w:r>
        <w:rPr>
          <w:rFonts w:ascii="Times New Roman" w:eastAsia="Times New Roman" w:hAnsi="Times New Roman" w:cs="Times New Roman"/>
          <w:i/>
        </w:rPr>
        <w:t>Nyay</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Panch</w:t>
      </w:r>
      <w:proofErr w:type="spellEnd"/>
      <w:r>
        <w:rPr>
          <w:rFonts w:ascii="Times New Roman" w:eastAsia="Times New Roman" w:hAnsi="Times New Roman" w:cs="Times New Roman"/>
          <w:i/>
        </w:rPr>
        <w:t>: Colonial Customary Justice in the Present</w:t>
      </w:r>
    </w:p>
    <w:p w14:paraId="0D9C9758" w14:textId="77777777" w:rsidR="003934E1"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A key outcome of Wilkinson's Rules was the </w:t>
      </w:r>
      <w:proofErr w:type="spellStart"/>
      <w:r>
        <w:rPr>
          <w:rFonts w:ascii="Times New Roman" w:eastAsia="Times New Roman" w:hAnsi="Times New Roman" w:cs="Times New Roman"/>
        </w:rPr>
        <w:t>Nyay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Panch</w:t>
      </w:r>
      <w:proofErr w:type="spellEnd"/>
      <w:r>
        <w:rPr>
          <w:rFonts w:ascii="Times New Roman" w:eastAsia="Times New Roman" w:hAnsi="Times New Roman" w:cs="Times New Roman"/>
        </w:rPr>
        <w:t xml:space="preserve"> system, a customary justice mechanism that persists today. Designed for quick, affordable civil matters, it fast-tracks minor land and rent disputes, bridging customary and statutory law. Its structure combines hereditary authority with accountability; </w:t>
      </w:r>
      <w:proofErr w:type="spellStart"/>
      <w:r>
        <w:rPr>
          <w:rFonts w:ascii="Times New Roman" w:eastAsia="Times New Roman" w:hAnsi="Times New Roman" w:cs="Times New Roman"/>
        </w:rPr>
        <w:t>Mankis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receive honoraria (₹2,000–3,000) and face oversight by the </w:t>
      </w:r>
      <w:proofErr w:type="spellStart"/>
      <w:r>
        <w:rPr>
          <w:rFonts w:ascii="Times New Roman" w:eastAsia="Times New Roman" w:hAnsi="Times New Roman" w:cs="Times New Roman"/>
        </w:rPr>
        <w:t>Manki</w:t>
      </w:r>
      <w:proofErr w:type="spellEnd"/>
      <w:r>
        <w:rPr>
          <w:rFonts w:ascii="Times New Roman" w:eastAsia="Times New Roman" w:hAnsi="Times New Roman" w:cs="Times New Roman"/>
        </w:rPr>
        <w:t>-Munda Sangh.</w:t>
      </w:r>
    </w:p>
    <w:p w14:paraId="4B66C0D8" w14:textId="77777777" w:rsidR="003934E1"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Despite their colonial origins, the </w:t>
      </w:r>
      <w:proofErr w:type="spellStart"/>
      <w:r>
        <w:rPr>
          <w:rFonts w:ascii="Times New Roman" w:eastAsia="Times New Roman" w:hAnsi="Times New Roman" w:cs="Times New Roman"/>
        </w:rPr>
        <w:t>Nyay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Panch</w:t>
      </w:r>
      <w:proofErr w:type="spellEnd"/>
      <w:r>
        <w:rPr>
          <w:rFonts w:ascii="Times New Roman" w:eastAsia="Times New Roman" w:hAnsi="Times New Roman" w:cs="Times New Roman"/>
        </w:rPr>
        <w:t xml:space="preserve"> gained formal recognition from the Jharkhand Government in February 2021 (Singh, 2023). It handles land disputes up to ₹5,000 (with proposals to increase to ₹50,000), allowing appeals to the Deputy Commissioner or High Court. The court accepts non-tribal litigants within the Wilkinson jurisdiction, indicating a hybrid jurisdiction rooted in tradition and colonial administration.</w:t>
      </w:r>
    </w:p>
    <w:p w14:paraId="4000E8F3" w14:textId="77777777" w:rsidR="003934E1" w:rsidRDefault="00000000">
      <w:pPr>
        <w:spacing w:before="240" w:after="240" w:line="276" w:lineRule="auto"/>
        <w:jc w:val="both"/>
        <w:rPr>
          <w:rFonts w:ascii="Times New Roman" w:eastAsia="Times New Roman" w:hAnsi="Times New Roman" w:cs="Times New Roman"/>
          <w:i/>
        </w:rPr>
      </w:pPr>
      <w:r>
        <w:rPr>
          <w:rFonts w:ascii="Times New Roman" w:eastAsia="Times New Roman" w:hAnsi="Times New Roman" w:cs="Times New Roman"/>
          <w:i/>
        </w:rPr>
        <w:t>Consolidation and Coloniality</w:t>
      </w:r>
    </w:p>
    <w:p w14:paraId="7DF57AE1" w14:textId="77777777" w:rsidR="003934E1" w:rsidRDefault="00000000">
      <w:p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 xml:space="preserve">The K.G.E., settlements, and Wilkinson's Rules show how colonial governance was protected while expropriating land. Land, labour, and authority were reorganised for colonial needs, while recognition legitimised continued control. The </w:t>
      </w:r>
      <w:proofErr w:type="spellStart"/>
      <w:r>
        <w:rPr>
          <w:rFonts w:ascii="Times New Roman" w:eastAsia="Times New Roman" w:hAnsi="Times New Roman" w:cs="Times New Roman"/>
        </w:rPr>
        <w:t>Nyay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Panch’s</w:t>
      </w:r>
      <w:proofErr w:type="spellEnd"/>
      <w:r>
        <w:rPr>
          <w:rFonts w:ascii="Times New Roman" w:eastAsia="Times New Roman" w:hAnsi="Times New Roman" w:cs="Times New Roman"/>
        </w:rPr>
        <w:t xml:space="preserve"> endurance demonstrates the survival of colonial law through practice, cultural acceptance and administrative inertia.</w:t>
      </w:r>
    </w:p>
    <w:p w14:paraId="4D780A51" w14:textId="77777777" w:rsidR="003934E1" w:rsidRDefault="00000000">
      <w:pPr>
        <w:spacing w:before="240" w:after="240" w:line="276" w:lineRule="auto"/>
        <w:jc w:val="both"/>
        <w:rPr>
          <w:rFonts w:ascii="Times New Roman" w:eastAsia="Times New Roman" w:hAnsi="Times New Roman" w:cs="Times New Roman"/>
        </w:rPr>
        <w:sectPr w:rsidR="003934E1">
          <w:type w:val="continuous"/>
          <w:pgSz w:w="11900" w:h="16840"/>
          <w:pgMar w:top="1440" w:right="1440" w:bottom="1440" w:left="1440" w:header="720" w:footer="720" w:gutter="0"/>
          <w:cols w:space="720"/>
        </w:sectPr>
      </w:pPr>
      <w:r>
        <w:rPr>
          <w:rFonts w:ascii="Times New Roman" w:eastAsia="Times New Roman" w:hAnsi="Times New Roman" w:cs="Times New Roman"/>
        </w:rPr>
        <w:t xml:space="preserve">By examining settlement records and the </w:t>
      </w:r>
      <w:proofErr w:type="spellStart"/>
      <w:r>
        <w:rPr>
          <w:rFonts w:ascii="Times New Roman" w:eastAsia="Times New Roman" w:hAnsi="Times New Roman" w:cs="Times New Roman"/>
        </w:rPr>
        <w:t>Nyay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Panch's</w:t>
      </w:r>
      <w:proofErr w:type="spellEnd"/>
      <w:r>
        <w:rPr>
          <w:rFonts w:ascii="Times New Roman" w:eastAsia="Times New Roman" w:hAnsi="Times New Roman" w:cs="Times New Roman"/>
        </w:rPr>
        <w:t xml:space="preserve"> persistence, this section reveals the dynamics of coloniality, a governance logic enduring beyond the colonial state, embedded in local institutions and </w:t>
      </w:r>
      <w:proofErr w:type="spellStart"/>
      <w:r>
        <w:rPr>
          <w:rFonts w:ascii="Times New Roman" w:eastAsia="Times New Roman" w:hAnsi="Times New Roman" w:cs="Times New Roman"/>
        </w:rPr>
        <w:t>Kolhan’s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juridico</w:t>
      </w:r>
      <w:proofErr w:type="spellEnd"/>
      <w:r>
        <w:rPr>
          <w:rFonts w:ascii="Times New Roman" w:eastAsia="Times New Roman" w:hAnsi="Times New Roman" w:cs="Times New Roman"/>
        </w:rPr>
        <w:t>-political imagination.</w:t>
      </w:r>
    </w:p>
    <w:p w14:paraId="11309394" w14:textId="77777777" w:rsidR="003934E1" w:rsidRDefault="003934E1">
      <w:pPr>
        <w:spacing w:before="240" w:after="240" w:line="276" w:lineRule="auto"/>
        <w:jc w:val="both"/>
        <w:rPr>
          <w:rFonts w:ascii="Times New Roman" w:eastAsia="Times New Roman" w:hAnsi="Times New Roman" w:cs="Times New Roman"/>
        </w:rPr>
        <w:sectPr w:rsidR="003934E1">
          <w:type w:val="continuous"/>
          <w:pgSz w:w="11900" w:h="16840"/>
          <w:pgMar w:top="1440" w:right="1440" w:bottom="1440" w:left="1440" w:header="720" w:footer="720" w:gutter="0"/>
          <w:cols w:space="720"/>
        </w:sectPr>
      </w:pPr>
    </w:p>
    <w:p w14:paraId="0F9A598E" w14:textId="77777777" w:rsidR="003934E1" w:rsidRDefault="003934E1">
      <w:pPr>
        <w:spacing w:before="240" w:after="240" w:line="276" w:lineRule="auto"/>
        <w:jc w:val="both"/>
        <w:rPr>
          <w:rFonts w:ascii="Times New Roman" w:eastAsia="Times New Roman" w:hAnsi="Times New Roman" w:cs="Times New Roman"/>
        </w:rPr>
        <w:sectPr w:rsidR="003934E1">
          <w:type w:val="continuous"/>
          <w:pgSz w:w="11900" w:h="16840"/>
          <w:pgMar w:top="1440" w:right="1440" w:bottom="1440" w:left="1440" w:header="720" w:footer="720" w:gutter="0"/>
          <w:cols w:space="720"/>
        </w:sectPr>
      </w:pPr>
    </w:p>
    <w:p w14:paraId="2F6A4653" w14:textId="77777777" w:rsidR="003934E1"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Post-Independence Continuities: State Control, Suspicion and Claims to Autonomy</w:t>
      </w:r>
    </w:p>
    <w:p w14:paraId="1B18984D" w14:textId="77777777" w:rsidR="003934E1" w:rsidRDefault="003934E1">
      <w:pPr>
        <w:spacing w:line="360" w:lineRule="auto"/>
        <w:jc w:val="both"/>
        <w:rPr>
          <w:rFonts w:ascii="Times New Roman" w:eastAsia="Times New Roman" w:hAnsi="Times New Roman" w:cs="Times New Roman"/>
        </w:rPr>
      </w:pPr>
    </w:p>
    <w:p w14:paraId="199773A7"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Although formal colonial control of land, resources, and Adivasi populations ended in 1947, this logic persisted through Indian state policies. The post-independence experiences of the Ho Adivasi show how colonial constructs of suspicion and paternalism continued to shape state interactions with Adivasi communities in the post-independence era. The </w:t>
      </w:r>
      <w:proofErr w:type="spellStart"/>
      <w:r>
        <w:rPr>
          <w:rFonts w:ascii="Times New Roman" w:eastAsia="Times New Roman" w:hAnsi="Times New Roman" w:cs="Times New Roman"/>
        </w:rPr>
        <w:t>Kharsawan</w:t>
      </w:r>
      <w:proofErr w:type="spellEnd"/>
      <w:r>
        <w:rPr>
          <w:rFonts w:ascii="Times New Roman" w:eastAsia="Times New Roman" w:hAnsi="Times New Roman" w:cs="Times New Roman"/>
        </w:rPr>
        <w:t xml:space="preserve"> firing of January 1948, where police fired on peaceful Ho protestors opposing the merger of </w:t>
      </w:r>
      <w:proofErr w:type="spellStart"/>
      <w:r>
        <w:rPr>
          <w:rFonts w:ascii="Times New Roman" w:eastAsia="Times New Roman" w:hAnsi="Times New Roman" w:cs="Times New Roman"/>
        </w:rPr>
        <w:t>Seraikela-Kharsawan</w:t>
      </w:r>
      <w:proofErr w:type="spellEnd"/>
      <w:r>
        <w:rPr>
          <w:rFonts w:ascii="Times New Roman" w:eastAsia="Times New Roman" w:hAnsi="Times New Roman" w:cs="Times New Roman"/>
        </w:rPr>
        <w:t xml:space="preserve"> into Odisha, resulted in numerous deaths</w:t>
      </w:r>
      <w:r>
        <w:rPr>
          <w:rFonts w:ascii="Times New Roman" w:eastAsia="Times New Roman" w:hAnsi="Times New Roman" w:cs="Times New Roman"/>
          <w:vertAlign w:val="superscript"/>
        </w:rPr>
        <w:footnoteReference w:id="52"/>
      </w:r>
      <w:r>
        <w:rPr>
          <w:rFonts w:ascii="Times New Roman" w:eastAsia="Times New Roman" w:hAnsi="Times New Roman" w:cs="Times New Roman"/>
        </w:rPr>
        <w:t xml:space="preserve">. Survivors recounted how bodies were discarded in the Saranda forest, while others leapt into a nearby well to escape (Sengupta 2024; </w:t>
      </w:r>
      <w:proofErr w:type="spellStart"/>
      <w:r>
        <w:rPr>
          <w:rFonts w:ascii="Times New Roman" w:eastAsia="Times New Roman" w:hAnsi="Times New Roman" w:cs="Times New Roman"/>
        </w:rPr>
        <w:t>Thumbi</w:t>
      </w:r>
      <w:proofErr w:type="spellEnd"/>
      <w:r>
        <w:rPr>
          <w:rFonts w:ascii="Times New Roman" w:eastAsia="Times New Roman" w:hAnsi="Times New Roman" w:cs="Times New Roman"/>
        </w:rPr>
        <w:t xml:space="preserve"> 2025). Since then, January 1st has been considered a "black day” in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history, observed by mourning</w:t>
      </w:r>
      <w:r>
        <w:rPr>
          <w:rFonts w:ascii="Times New Roman" w:eastAsia="Times New Roman" w:hAnsi="Times New Roman" w:cs="Times New Roman"/>
          <w:vertAlign w:val="superscript"/>
        </w:rPr>
        <w:footnoteReference w:id="53"/>
      </w:r>
      <w:r>
        <w:rPr>
          <w:rFonts w:ascii="Times New Roman" w:eastAsia="Times New Roman" w:hAnsi="Times New Roman" w:cs="Times New Roman"/>
        </w:rPr>
        <w:t xml:space="preserve"> rather than the ‘New Year’ celebration (</w:t>
      </w:r>
      <w:proofErr w:type="spellStart"/>
      <w:r>
        <w:rPr>
          <w:rFonts w:ascii="Times New Roman" w:eastAsia="Times New Roman" w:hAnsi="Times New Roman" w:cs="Times New Roman"/>
        </w:rPr>
        <w:t>Bisoee</w:t>
      </w:r>
      <w:proofErr w:type="spellEnd"/>
      <w:r>
        <w:rPr>
          <w:rFonts w:ascii="Times New Roman" w:eastAsia="Times New Roman" w:hAnsi="Times New Roman" w:cs="Times New Roman"/>
        </w:rPr>
        <w:t>, 2016). This event demonstrates the persistence of colonial imperatives to discipline "rebellious" tribal populations.</w:t>
      </w:r>
    </w:p>
    <w:p w14:paraId="623C918D" w14:textId="77777777" w:rsidR="003934E1" w:rsidRDefault="003934E1">
      <w:pPr>
        <w:spacing w:line="360" w:lineRule="auto"/>
        <w:jc w:val="both"/>
        <w:rPr>
          <w:rFonts w:ascii="Times New Roman" w:eastAsia="Times New Roman" w:hAnsi="Times New Roman" w:cs="Times New Roman"/>
        </w:rPr>
      </w:pPr>
    </w:p>
    <w:p w14:paraId="48A8BDCA"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Forest governance has continued the colonial legacy. Early 20th century forest reservation laws criminalised traditional community practices, such as grazing and shifting cultivation, disrupting traditional ‘</w:t>
      </w:r>
      <w:proofErr w:type="spellStart"/>
      <w:r>
        <w:rPr>
          <w:rFonts w:ascii="Times New Roman" w:eastAsia="Times New Roman" w:hAnsi="Times New Roman" w:cs="Times New Roman"/>
        </w:rPr>
        <w:t>Khuntkatti</w:t>
      </w:r>
      <w:proofErr w:type="spellEnd"/>
      <w:r>
        <w:rPr>
          <w:rFonts w:ascii="Times New Roman" w:eastAsia="Times New Roman" w:hAnsi="Times New Roman" w:cs="Times New Roman"/>
        </w:rPr>
        <w:t>’</w:t>
      </w:r>
      <w:r>
        <w:rPr>
          <w:rFonts w:ascii="Times New Roman" w:eastAsia="Times New Roman" w:hAnsi="Times New Roman" w:cs="Times New Roman"/>
          <w:vertAlign w:val="superscript"/>
        </w:rPr>
        <w:footnoteReference w:id="54"/>
      </w:r>
      <w:r>
        <w:rPr>
          <w:rFonts w:ascii="Times New Roman" w:eastAsia="Times New Roman" w:hAnsi="Times New Roman" w:cs="Times New Roman"/>
        </w:rPr>
        <w:t xml:space="preserve"> entitlements (Corbridge &amp; Jewitt, 2004). Post-independence, these restrictions intensified, with officials treating ‘</w:t>
      </w:r>
      <w:proofErr w:type="spellStart"/>
      <w:r>
        <w:rPr>
          <w:rFonts w:ascii="Times New Roman" w:eastAsia="Times New Roman" w:hAnsi="Times New Roman" w:cs="Times New Roman"/>
        </w:rPr>
        <w:t>Khuntkattidar</w:t>
      </w:r>
      <w:proofErr w:type="spellEnd"/>
      <w:r>
        <w:rPr>
          <w:rFonts w:ascii="Times New Roman" w:eastAsia="Times New Roman" w:hAnsi="Times New Roman" w:cs="Times New Roman"/>
        </w:rPr>
        <w:t>’</w:t>
      </w:r>
      <w:r>
        <w:rPr>
          <w:rFonts w:ascii="Times New Roman" w:eastAsia="Times New Roman" w:hAnsi="Times New Roman" w:cs="Times New Roman"/>
          <w:vertAlign w:val="superscript"/>
        </w:rPr>
        <w:footnoteReference w:id="55"/>
      </w:r>
      <w:r>
        <w:rPr>
          <w:rFonts w:ascii="Times New Roman" w:eastAsia="Times New Roman" w:hAnsi="Times New Roman" w:cs="Times New Roman"/>
        </w:rPr>
        <w:t xml:space="preserve"> families as encroachers on their own ancestral land. Resistance through sabotage, burning of </w:t>
      </w:r>
      <w:proofErr w:type="spellStart"/>
      <w:r>
        <w:rPr>
          <w:rFonts w:ascii="Times New Roman" w:eastAsia="Times New Roman" w:hAnsi="Times New Roman" w:cs="Times New Roman"/>
        </w:rPr>
        <w:t>sal</w:t>
      </w:r>
      <w:proofErr w:type="spellEnd"/>
      <w:r>
        <w:rPr>
          <w:rFonts w:ascii="Times New Roman" w:eastAsia="Times New Roman" w:hAnsi="Times New Roman" w:cs="Times New Roman"/>
        </w:rPr>
        <w:t xml:space="preserve"> wood depots, and blockades continued, culminating in the 1978 “</w:t>
      </w:r>
      <w:proofErr w:type="spellStart"/>
      <w:r>
        <w:rPr>
          <w:rFonts w:ascii="Times New Roman" w:eastAsia="Times New Roman" w:hAnsi="Times New Roman" w:cs="Times New Roman"/>
        </w:rPr>
        <w:t>Jangal</w:t>
      </w:r>
      <w:proofErr w:type="spellEnd"/>
      <w:r>
        <w:rPr>
          <w:rFonts w:ascii="Times New Roman" w:eastAsia="Times New Roman" w:hAnsi="Times New Roman" w:cs="Times New Roman"/>
        </w:rPr>
        <w:t xml:space="preserve"> Katai </w:t>
      </w:r>
      <w:proofErr w:type="spellStart"/>
      <w:r>
        <w:rPr>
          <w:rFonts w:ascii="Times New Roman" w:eastAsia="Times New Roman" w:hAnsi="Times New Roman" w:cs="Times New Roman"/>
        </w:rPr>
        <w:t>Andolan</w:t>
      </w:r>
      <w:proofErr w:type="spellEnd"/>
      <w:r>
        <w:rPr>
          <w:rFonts w:ascii="Times New Roman" w:eastAsia="Times New Roman" w:hAnsi="Times New Roman" w:cs="Times New Roman"/>
        </w:rPr>
        <w:t xml:space="preserve">” (forest cutting movement) in </w:t>
      </w:r>
      <w:proofErr w:type="spellStart"/>
      <w:r>
        <w:rPr>
          <w:rFonts w:ascii="Times New Roman" w:eastAsia="Times New Roman" w:hAnsi="Times New Roman" w:cs="Times New Roman"/>
        </w:rPr>
        <w:t>Singhbhum</w:t>
      </w:r>
      <w:proofErr w:type="spellEnd"/>
      <w:r>
        <w:rPr>
          <w:rFonts w:ascii="Times New Roman" w:eastAsia="Times New Roman" w:hAnsi="Times New Roman" w:cs="Times New Roman"/>
        </w:rPr>
        <w:t xml:space="preserve"> (Sahay, 2015). Ho communities contested forest reservation through organised land clearance and confrontations with timber contractors. The state responded violently, with police firing on protesters, many of whom were killed, and 4,000 arrests in Gua (Kumar, 2024). The portrayal of these struggles as criminal reflects the colonial narratives of the "Larka" Kols being deemed untrustworthy with their land.</w:t>
      </w:r>
    </w:p>
    <w:p w14:paraId="0C85D9FC" w14:textId="77777777" w:rsidR="003934E1" w:rsidRDefault="003934E1">
      <w:pPr>
        <w:spacing w:line="360" w:lineRule="auto"/>
        <w:jc w:val="both"/>
        <w:rPr>
          <w:rFonts w:ascii="Times New Roman" w:eastAsia="Times New Roman" w:hAnsi="Times New Roman" w:cs="Times New Roman"/>
        </w:rPr>
      </w:pPr>
    </w:p>
    <w:p w14:paraId="060845BC"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Industrialisation post 1947, relied on dispossessory logics underpinning colonial extraction measures. Iron ore discoveries in Gua and </w:t>
      </w:r>
      <w:proofErr w:type="spellStart"/>
      <w:r>
        <w:rPr>
          <w:rFonts w:ascii="Times New Roman" w:eastAsia="Times New Roman" w:hAnsi="Times New Roman" w:cs="Times New Roman"/>
        </w:rPr>
        <w:t>Noamundi</w:t>
      </w:r>
      <w:proofErr w:type="spellEnd"/>
      <w:r>
        <w:rPr>
          <w:rFonts w:ascii="Times New Roman" w:eastAsia="Times New Roman" w:hAnsi="Times New Roman" w:cs="Times New Roman"/>
        </w:rPr>
        <w:t xml:space="preserve"> enabled industrial expansion, with companies acquiring land through the Land Acquisition Act of 1894. While this Act prohibited private sales to non-tribals, it allowed the state to seize land “in the public interest”, thereby </w:t>
      </w:r>
      <w:r>
        <w:rPr>
          <w:rFonts w:ascii="Times New Roman" w:eastAsia="Times New Roman" w:hAnsi="Times New Roman" w:cs="Times New Roman"/>
        </w:rPr>
        <w:lastRenderedPageBreak/>
        <w:t>displacing Adivasis from their lands. Many Ho families were dispossessed, losing their livelihoods, subsistence, and authority over their lands (ibid.).</w:t>
      </w:r>
    </w:p>
    <w:p w14:paraId="0667DEB8" w14:textId="77777777" w:rsidR="003934E1" w:rsidRDefault="003934E1">
      <w:pPr>
        <w:spacing w:line="360" w:lineRule="auto"/>
        <w:jc w:val="both"/>
        <w:rPr>
          <w:rFonts w:ascii="Times New Roman" w:eastAsia="Times New Roman" w:hAnsi="Times New Roman" w:cs="Times New Roman"/>
        </w:rPr>
      </w:pPr>
    </w:p>
    <w:p w14:paraId="59D7ECC5"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These injustices and discontent sparked autonomy movements in the 1980s. The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Raksha Sangh (KRS), led by educated Ho individuals such as Narayan </w:t>
      </w:r>
      <w:proofErr w:type="spellStart"/>
      <w:r>
        <w:rPr>
          <w:rFonts w:ascii="Times New Roman" w:eastAsia="Times New Roman" w:hAnsi="Times New Roman" w:cs="Times New Roman"/>
        </w:rPr>
        <w:t>Jonko</w:t>
      </w:r>
      <w:proofErr w:type="spellEnd"/>
      <w:r>
        <w:rPr>
          <w:rFonts w:ascii="Times New Roman" w:eastAsia="Times New Roman" w:hAnsi="Times New Roman" w:cs="Times New Roman"/>
        </w:rPr>
        <w:t xml:space="preserve">, Christ Anand Topno, and K.C. </w:t>
      </w:r>
      <w:proofErr w:type="spellStart"/>
      <w:r>
        <w:rPr>
          <w:rFonts w:ascii="Times New Roman" w:eastAsia="Times New Roman" w:hAnsi="Times New Roman" w:cs="Times New Roman"/>
        </w:rPr>
        <w:t>Hembrum</w:t>
      </w:r>
      <w:proofErr w:type="spellEnd"/>
      <w:r>
        <w:rPr>
          <w:rFonts w:ascii="Times New Roman" w:eastAsia="Times New Roman" w:hAnsi="Times New Roman" w:cs="Times New Roman"/>
        </w:rPr>
        <w:t xml:space="preserve"> started demanding a separate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vertAlign w:val="superscript"/>
        </w:rPr>
        <w:footnoteReference w:id="56"/>
      </w:r>
      <w:r>
        <w:rPr>
          <w:rFonts w:ascii="Times New Roman" w:eastAsia="Times New Roman" w:hAnsi="Times New Roman" w:cs="Times New Roman"/>
        </w:rPr>
        <w:t xml:space="preserve"> (Mahato, 2021). They cited the K. G. E. to claim a unique political legal identity and travelled to meet British government and Commonwealth officials. When they returned, they were charged with sedition, and the movement was called separatist (Sinha, 2022). Similarly, in 2017, Ramo </w:t>
      </w:r>
      <w:proofErr w:type="spellStart"/>
      <w:r>
        <w:rPr>
          <w:rFonts w:ascii="Times New Roman" w:eastAsia="Times New Roman" w:hAnsi="Times New Roman" w:cs="Times New Roman"/>
        </w:rPr>
        <w:t>Birua</w:t>
      </w:r>
      <w:proofErr w:type="spellEnd"/>
      <w:r>
        <w:rPr>
          <w:rFonts w:ascii="Times New Roman" w:eastAsia="Times New Roman" w:hAnsi="Times New Roman" w:cs="Times New Roman"/>
        </w:rPr>
        <w:t xml:space="preserve">  declared himself the ruler of the K. G. E. and began issuing certificates and collecting rent from the local Adivasis. The movement gained limited support and faced state repression following the arrests (Pandey, 2017). These movements demonstrate how colonial structures influence resistance to marginalisation.</w:t>
      </w:r>
    </w:p>
    <w:p w14:paraId="4BA316AF" w14:textId="77777777" w:rsidR="003934E1" w:rsidRDefault="003934E1">
      <w:pPr>
        <w:spacing w:line="360" w:lineRule="auto"/>
        <w:jc w:val="both"/>
        <w:rPr>
          <w:rFonts w:ascii="Times New Roman" w:eastAsia="Times New Roman" w:hAnsi="Times New Roman" w:cs="Times New Roman"/>
        </w:rPr>
      </w:pPr>
    </w:p>
    <w:p w14:paraId="4AAA1E9A"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2022 job scam in </w:t>
      </w:r>
      <w:proofErr w:type="spellStart"/>
      <w:r>
        <w:rPr>
          <w:rFonts w:ascii="Times New Roman" w:eastAsia="Times New Roman" w:hAnsi="Times New Roman" w:cs="Times New Roman"/>
        </w:rPr>
        <w:t>Chaibasa</w:t>
      </w:r>
      <w:proofErr w:type="spellEnd"/>
      <w:r>
        <w:rPr>
          <w:rFonts w:ascii="Times New Roman" w:eastAsia="Times New Roman" w:hAnsi="Times New Roman" w:cs="Times New Roman"/>
        </w:rPr>
        <w:t xml:space="preserve"> demonstrates similar dynamics when unemployed Ho youth fell prey to a fake recruitment drive for various posts in K.G.E (Niyogi &amp; Choudhury). When the police intervened, it led to violent clashes with the Adivasis, police charges, and arrests, and the media portrayed it as a call for separation (</w:t>
      </w:r>
      <w:proofErr w:type="spellStart"/>
      <w:r>
        <w:rPr>
          <w:rFonts w:ascii="Times New Roman" w:eastAsia="Times New Roman" w:hAnsi="Times New Roman" w:cs="Times New Roman"/>
        </w:rPr>
        <w:t>Aaj</w:t>
      </w:r>
      <w:proofErr w:type="spellEnd"/>
      <w:r>
        <w:rPr>
          <w:rFonts w:ascii="Times New Roman" w:eastAsia="Times New Roman" w:hAnsi="Times New Roman" w:cs="Times New Roman"/>
        </w:rPr>
        <w:t xml:space="preserve"> Tak, 2022; </w:t>
      </w:r>
      <w:proofErr w:type="spellStart"/>
      <w:r>
        <w:rPr>
          <w:rFonts w:ascii="Times New Roman" w:eastAsia="Times New Roman" w:hAnsi="Times New Roman" w:cs="Times New Roman"/>
        </w:rPr>
        <w:t>Ashak</w:t>
      </w:r>
      <w:proofErr w:type="spellEnd"/>
      <w:r>
        <w:rPr>
          <w:rFonts w:ascii="Times New Roman" w:eastAsia="Times New Roman" w:hAnsi="Times New Roman" w:cs="Times New Roman"/>
        </w:rPr>
        <w:t>, 2022). The incident reflected unemployment and negligence by the government, yet the media and state discourse reverted to colonial labels of tribal disloyalty.</w:t>
      </w:r>
    </w:p>
    <w:p w14:paraId="7B64CA6A" w14:textId="77777777" w:rsidR="003934E1" w:rsidRDefault="003934E1">
      <w:pPr>
        <w:spacing w:line="360" w:lineRule="auto"/>
        <w:jc w:val="both"/>
        <w:rPr>
          <w:rFonts w:ascii="Times New Roman" w:eastAsia="Times New Roman" w:hAnsi="Times New Roman" w:cs="Times New Roman"/>
        </w:rPr>
      </w:pPr>
    </w:p>
    <w:p w14:paraId="64B647DB" w14:textId="77777777" w:rsidR="003934E1" w:rsidRDefault="003934E1">
      <w:pPr>
        <w:spacing w:line="360" w:lineRule="auto"/>
        <w:jc w:val="both"/>
        <w:rPr>
          <w:rFonts w:ascii="Times New Roman" w:eastAsia="Times New Roman" w:hAnsi="Times New Roman" w:cs="Times New Roman"/>
        </w:rPr>
      </w:pPr>
    </w:p>
    <w:p w14:paraId="3FEF866F" w14:textId="77777777" w:rsidR="003934E1"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i/>
        </w:rPr>
        <w:t xml:space="preserve">The Persistence of Wilkinson's Rules in Post-colonial </w:t>
      </w:r>
      <w:proofErr w:type="spellStart"/>
      <w:r>
        <w:rPr>
          <w:rFonts w:ascii="Times New Roman" w:eastAsia="Times New Roman" w:hAnsi="Times New Roman" w:cs="Times New Roman"/>
          <w:i/>
        </w:rPr>
        <w:t>Kolhan</w:t>
      </w:r>
      <w:proofErr w:type="spellEnd"/>
    </w:p>
    <w:p w14:paraId="63051D0D" w14:textId="77777777" w:rsidR="003934E1" w:rsidRDefault="003934E1">
      <w:pPr>
        <w:spacing w:line="360" w:lineRule="auto"/>
        <w:jc w:val="both"/>
        <w:rPr>
          <w:rFonts w:ascii="Times New Roman" w:eastAsia="Times New Roman" w:hAnsi="Times New Roman" w:cs="Times New Roman"/>
        </w:rPr>
      </w:pPr>
    </w:p>
    <w:p w14:paraId="56385590"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Despite the formal dissolution of the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Government Estate post-Independence, civil disputes in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fall under the purview of the Wilkinson Rules. Although these rules lack formal statutory authority,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courts and village leaders actively employ them to administer justice. A 2000 landmark judgment</w:t>
      </w:r>
      <w:r>
        <w:rPr>
          <w:rFonts w:ascii="Times New Roman" w:eastAsia="Times New Roman" w:hAnsi="Times New Roman" w:cs="Times New Roman"/>
          <w:vertAlign w:val="superscript"/>
        </w:rPr>
        <w:footnoteReference w:id="57"/>
      </w:r>
      <w:r>
        <w:rPr>
          <w:rFonts w:ascii="Times New Roman" w:eastAsia="Times New Roman" w:hAnsi="Times New Roman" w:cs="Times New Roman"/>
        </w:rPr>
        <w:t xml:space="preserve"> recognised that while these rules were not enacted by a competent legislative body, their application continued based on their long-</w:t>
      </w:r>
      <w:r>
        <w:rPr>
          <w:rFonts w:ascii="Times New Roman" w:eastAsia="Times New Roman" w:hAnsi="Times New Roman" w:cs="Times New Roman"/>
        </w:rPr>
        <w:lastRenderedPageBreak/>
        <w:t xml:space="preserve">standing community acceptance, practical efficacy, and the absence of other alternatives. The court concluded these rules would remain valid until new regulations are formally adopted. Decisions under Wilkinson's Rules stand unless overturned by a competent court. This exemplifies the persistence of colonial legal frameworks through inertia, familiarity, and a lack of reform. </w:t>
      </w:r>
    </w:p>
    <w:p w14:paraId="4A3746FC" w14:textId="77777777" w:rsidR="003934E1" w:rsidRDefault="003934E1">
      <w:pPr>
        <w:spacing w:line="360" w:lineRule="auto"/>
        <w:jc w:val="both"/>
        <w:rPr>
          <w:rFonts w:ascii="Times New Roman" w:eastAsia="Times New Roman" w:hAnsi="Times New Roman" w:cs="Times New Roman"/>
        </w:rPr>
      </w:pPr>
    </w:p>
    <w:p w14:paraId="45AB0AF0"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section argues that post-independence interactions between the Ho community and the state are best understood through the framework of coloniality (Quijano &amp; Ennis, 2000), which refers to the persistence of colonial governance patterns. By </w:t>
      </w:r>
      <w:proofErr w:type="spellStart"/>
      <w:r>
        <w:rPr>
          <w:rFonts w:ascii="Times New Roman" w:eastAsia="Times New Roman" w:hAnsi="Times New Roman" w:cs="Times New Roman"/>
        </w:rPr>
        <w:t>pathologising</w:t>
      </w:r>
      <w:proofErr w:type="spellEnd"/>
      <w:r>
        <w:rPr>
          <w:rFonts w:ascii="Times New Roman" w:eastAsia="Times New Roman" w:hAnsi="Times New Roman" w:cs="Times New Roman"/>
        </w:rPr>
        <w:t xml:space="preserve"> Adivasi claims as threats, the Indian state perpetuates colonial logics, denying Ho Adivasis agency as political subjects negotiating justice and autonomy in a democratic republic.</w:t>
      </w:r>
    </w:p>
    <w:p w14:paraId="4DCF676A" w14:textId="77777777" w:rsidR="003934E1" w:rsidRDefault="003934E1">
      <w:pPr>
        <w:spacing w:line="360" w:lineRule="auto"/>
        <w:jc w:val="both"/>
        <w:rPr>
          <w:rFonts w:ascii="Times New Roman" w:eastAsia="Times New Roman" w:hAnsi="Times New Roman" w:cs="Times New Roman"/>
        </w:rPr>
      </w:pPr>
    </w:p>
    <w:p w14:paraId="28BF1943" w14:textId="77777777" w:rsidR="003934E1" w:rsidRDefault="003934E1">
      <w:pPr>
        <w:spacing w:line="360" w:lineRule="auto"/>
        <w:jc w:val="both"/>
        <w:rPr>
          <w:rFonts w:ascii="Times New Roman" w:eastAsia="Times New Roman" w:hAnsi="Times New Roman" w:cs="Times New Roman"/>
        </w:rPr>
      </w:pPr>
    </w:p>
    <w:p w14:paraId="4638EB51" w14:textId="77777777" w:rsidR="003934E1"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Challenging Dominant Framings: Ethnographic and Oral Insights</w:t>
      </w:r>
    </w:p>
    <w:p w14:paraId="10A86350"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Ethnographic research in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illuminates the enduring influence of colonial legacies on contemporary governance and the daily lives of the Ho populace. Although Wilkinson’s Rules continue to underpin local dispute resolution, most Ho villagers, including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Mankis</w:t>
      </w:r>
      <w:proofErr w:type="spellEnd"/>
      <w:r>
        <w:rPr>
          <w:rFonts w:ascii="Times New Roman" w:eastAsia="Times New Roman" w:hAnsi="Times New Roman" w:cs="Times New Roman"/>
        </w:rPr>
        <w:t>, remain aware of their colonial origins but cannot do much on their own except abide by the rules. The transmission of knowledge regarding customary roles occurs informally through observation; for example, a Munda son learns his responsibilities by observing his father fulfilling his duties within the village rather than through documented records or formal training.</w:t>
      </w:r>
    </w:p>
    <w:p w14:paraId="26F6A238"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However, this governance system has recently come under scrutiny. Many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lack formal education, and some are irregular in attending regional meetings</w:t>
      </w:r>
      <w:r>
        <w:rPr>
          <w:rFonts w:ascii="Times New Roman" w:eastAsia="Times New Roman" w:hAnsi="Times New Roman" w:cs="Times New Roman"/>
          <w:vertAlign w:val="superscript"/>
        </w:rPr>
        <w:footnoteReference w:id="58"/>
      </w:r>
      <w:r>
        <w:rPr>
          <w:rFonts w:ascii="Times New Roman" w:eastAsia="Times New Roman" w:hAnsi="Times New Roman" w:cs="Times New Roman"/>
        </w:rPr>
        <w:t xml:space="preserve"> because of their work commitments. Some suggestions for structured training</w:t>
      </w:r>
      <w:r>
        <w:rPr>
          <w:rFonts w:ascii="Times New Roman" w:eastAsia="Times New Roman" w:hAnsi="Times New Roman" w:cs="Times New Roman"/>
          <w:vertAlign w:val="superscript"/>
        </w:rPr>
        <w:footnoteReference w:id="59"/>
      </w:r>
      <w:r>
        <w:rPr>
          <w:rFonts w:ascii="Times New Roman" w:eastAsia="Times New Roman" w:hAnsi="Times New Roman" w:cs="Times New Roman"/>
        </w:rPr>
        <w:t xml:space="preserve"> and increased honoraria to support</w:t>
      </w:r>
      <w:r>
        <w:rPr>
          <w:rFonts w:ascii="Times New Roman" w:eastAsia="Times New Roman" w:hAnsi="Times New Roman" w:cs="Times New Roman"/>
          <w:vertAlign w:val="superscript"/>
        </w:rPr>
        <w:footnoteReference w:id="60"/>
      </w:r>
      <w:r>
        <w:rPr>
          <w:rFonts w:ascii="Times New Roman" w:eastAsia="Times New Roman" w:hAnsi="Times New Roman" w:cs="Times New Roman"/>
        </w:rPr>
        <w:t xml:space="preserve"> </w:t>
      </w:r>
      <w:r>
        <w:rPr>
          <w:rFonts w:ascii="Times New Roman" w:eastAsia="Times New Roman" w:hAnsi="Times New Roman" w:cs="Times New Roman"/>
        </w:rPr>
        <w:lastRenderedPageBreak/>
        <w:t>traditional Adivasi leaders are provided. Despite assurances to revise Wilkinson’s Rules</w:t>
      </w:r>
      <w:r>
        <w:rPr>
          <w:rFonts w:ascii="Times New Roman" w:eastAsia="Times New Roman" w:hAnsi="Times New Roman" w:cs="Times New Roman"/>
          <w:vertAlign w:val="superscript"/>
        </w:rPr>
        <w:footnoteReference w:id="61"/>
      </w:r>
      <w:r>
        <w:rPr>
          <w:rFonts w:ascii="Times New Roman" w:eastAsia="Times New Roman" w:hAnsi="Times New Roman" w:cs="Times New Roman"/>
        </w:rPr>
        <w:t>, particularly following the 2022 job recruitment scandal</w:t>
      </w:r>
      <w:r>
        <w:rPr>
          <w:rFonts w:ascii="Times New Roman" w:eastAsia="Times New Roman" w:hAnsi="Times New Roman" w:cs="Times New Roman"/>
          <w:vertAlign w:val="superscript"/>
        </w:rPr>
        <w:footnoteReference w:id="62"/>
      </w:r>
      <w:r>
        <w:rPr>
          <w:rFonts w:ascii="Times New Roman" w:eastAsia="Times New Roman" w:hAnsi="Times New Roman" w:cs="Times New Roman"/>
        </w:rPr>
        <w:t>, no reforms have been implemented.</w:t>
      </w:r>
    </w:p>
    <w:p w14:paraId="5EBA13FC"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Disillusionment with the state government, especially the Jharkhand Mukti Morcha (JMM), is pervasive among the Ho community. </w:t>
      </w:r>
      <w:proofErr w:type="spellStart"/>
      <w:r>
        <w:rPr>
          <w:rFonts w:ascii="Times New Roman" w:eastAsia="Times New Roman" w:hAnsi="Times New Roman" w:cs="Times New Roman"/>
        </w:rPr>
        <w:t>Kolhan’s</w:t>
      </w:r>
      <w:proofErr w:type="spellEnd"/>
      <w:r>
        <w:rPr>
          <w:rFonts w:ascii="Times New Roman" w:eastAsia="Times New Roman" w:hAnsi="Times New Roman" w:cs="Times New Roman"/>
        </w:rPr>
        <w:t xml:space="preserve"> mineral wealth</w:t>
      </w:r>
      <w:r>
        <w:rPr>
          <w:rFonts w:ascii="Times New Roman" w:eastAsia="Times New Roman" w:hAnsi="Times New Roman" w:cs="Times New Roman"/>
          <w:vertAlign w:val="superscript"/>
        </w:rPr>
        <w:footnoteReference w:id="63"/>
      </w:r>
      <w:r>
        <w:rPr>
          <w:rFonts w:ascii="Times New Roman" w:eastAsia="Times New Roman" w:hAnsi="Times New Roman" w:cs="Times New Roman"/>
        </w:rPr>
        <w:t xml:space="preserve"> has not yielded tangible benefits for the local Adivasis. Mining leases for corporations such as Rungta and Tata are renewed without consultation</w:t>
      </w:r>
      <w:r>
        <w:rPr>
          <w:rFonts w:ascii="Times New Roman" w:eastAsia="Times New Roman" w:hAnsi="Times New Roman" w:cs="Times New Roman"/>
          <w:vertAlign w:val="superscript"/>
        </w:rPr>
        <w:footnoteReference w:id="64"/>
      </w:r>
      <w:r>
        <w:rPr>
          <w:rFonts w:ascii="Times New Roman" w:eastAsia="Times New Roman" w:hAnsi="Times New Roman" w:cs="Times New Roman"/>
        </w:rPr>
        <w:t>, and District Mineral Foundation Trust (DMFT) funds intended for development have resulted in minimal improvement. Adivasi communities remain largely excluded from material benefits.</w:t>
      </w:r>
    </w:p>
    <w:p w14:paraId="239D9BFE"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On a brighter side,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has a rich cultural heritage where festivals such as </w:t>
      </w:r>
      <w:proofErr w:type="spellStart"/>
      <w:r>
        <w:rPr>
          <w:rFonts w:ascii="Times New Roman" w:eastAsia="Times New Roman" w:hAnsi="Times New Roman" w:cs="Times New Roman"/>
        </w:rPr>
        <w:t>Maghe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Porob</w:t>
      </w:r>
      <w:proofErr w:type="spellEnd"/>
      <w:r>
        <w:rPr>
          <w:rFonts w:ascii="Times New Roman" w:eastAsia="Times New Roman" w:hAnsi="Times New Roman" w:cs="Times New Roman"/>
        </w:rPr>
        <w:t xml:space="preserve"> and Ba </w:t>
      </w:r>
      <w:proofErr w:type="spellStart"/>
      <w:r>
        <w:rPr>
          <w:rFonts w:ascii="Times New Roman" w:eastAsia="Times New Roman" w:hAnsi="Times New Roman" w:cs="Times New Roman"/>
        </w:rPr>
        <w:t>Porob</w:t>
      </w:r>
      <w:proofErr w:type="spellEnd"/>
      <w:r>
        <w:rPr>
          <w:rFonts w:ascii="Times New Roman" w:eastAsia="Times New Roman" w:hAnsi="Times New Roman" w:cs="Times New Roman"/>
        </w:rPr>
        <w:t xml:space="preserve"> sustain community life. Annual commemorations</w:t>
      </w:r>
      <w:r>
        <w:rPr>
          <w:rFonts w:ascii="Times New Roman" w:eastAsia="Times New Roman" w:hAnsi="Times New Roman" w:cs="Times New Roman"/>
          <w:vertAlign w:val="superscript"/>
        </w:rPr>
        <w:footnoteReference w:id="65"/>
      </w:r>
      <w:r>
        <w:rPr>
          <w:rFonts w:ascii="Times New Roman" w:eastAsia="Times New Roman" w:hAnsi="Times New Roman" w:cs="Times New Roman"/>
        </w:rPr>
        <w:t xml:space="preserve"> of the </w:t>
      </w:r>
      <w:proofErr w:type="spellStart"/>
      <w:r>
        <w:rPr>
          <w:rFonts w:ascii="Times New Roman" w:eastAsia="Times New Roman" w:hAnsi="Times New Roman" w:cs="Times New Roman"/>
        </w:rPr>
        <w:t>Kharsawan</w:t>
      </w:r>
      <w:proofErr w:type="spellEnd"/>
      <w:r>
        <w:rPr>
          <w:rFonts w:ascii="Times New Roman" w:eastAsia="Times New Roman" w:hAnsi="Times New Roman" w:cs="Times New Roman"/>
        </w:rPr>
        <w:t xml:space="preserve"> firing and the </w:t>
      </w:r>
      <w:proofErr w:type="spellStart"/>
      <w:r>
        <w:rPr>
          <w:rFonts w:ascii="Times New Roman" w:eastAsia="Times New Roman" w:hAnsi="Times New Roman" w:cs="Times New Roman"/>
        </w:rPr>
        <w:t>Serengsia</w:t>
      </w:r>
      <w:proofErr w:type="spellEnd"/>
      <w:r>
        <w:rPr>
          <w:rFonts w:ascii="Times New Roman" w:eastAsia="Times New Roman" w:hAnsi="Times New Roman" w:cs="Times New Roman"/>
        </w:rPr>
        <w:t xml:space="preserve"> battle</w:t>
      </w:r>
      <w:r>
        <w:rPr>
          <w:rFonts w:ascii="Times New Roman" w:eastAsia="Times New Roman" w:hAnsi="Times New Roman" w:cs="Times New Roman"/>
          <w:vertAlign w:val="superscript"/>
        </w:rPr>
        <w:footnoteReference w:id="66"/>
      </w:r>
      <w:r>
        <w:rPr>
          <w:rFonts w:ascii="Times New Roman" w:eastAsia="Times New Roman" w:hAnsi="Times New Roman" w:cs="Times New Roman"/>
        </w:rPr>
        <w:t xml:space="preserve"> honour past struggles and reinforce collective identity, memory, and mobilisation (Sandilya, 2019; </w:t>
      </w:r>
      <w:proofErr w:type="spellStart"/>
      <w:r>
        <w:rPr>
          <w:rFonts w:ascii="Times New Roman" w:eastAsia="Times New Roman" w:hAnsi="Times New Roman" w:cs="Times New Roman"/>
        </w:rPr>
        <w:t>Streumer</w:t>
      </w:r>
      <w:proofErr w:type="spellEnd"/>
      <w:r>
        <w:rPr>
          <w:rFonts w:ascii="Times New Roman" w:eastAsia="Times New Roman" w:hAnsi="Times New Roman" w:cs="Times New Roman"/>
        </w:rPr>
        <w:t>, 2021).</w:t>
      </w:r>
    </w:p>
    <w:p w14:paraId="707612E5"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memory of Gangaram </w:t>
      </w:r>
      <w:proofErr w:type="spellStart"/>
      <w:r>
        <w:rPr>
          <w:rFonts w:ascii="Times New Roman" w:eastAsia="Times New Roman" w:hAnsi="Times New Roman" w:cs="Times New Roman"/>
        </w:rPr>
        <w:t>Kalundia</w:t>
      </w:r>
      <w:proofErr w:type="spellEnd"/>
      <w:r>
        <w:rPr>
          <w:rFonts w:ascii="Times New Roman" w:eastAsia="Times New Roman" w:hAnsi="Times New Roman" w:cs="Times New Roman"/>
        </w:rPr>
        <w:t>, who was murdered in 1982 for opposing a World Bank-funded dam project, remains strong</w:t>
      </w:r>
      <w:r>
        <w:rPr>
          <w:rFonts w:ascii="Times New Roman" w:eastAsia="Times New Roman" w:hAnsi="Times New Roman" w:cs="Times New Roman"/>
          <w:vertAlign w:val="superscript"/>
        </w:rPr>
        <w:footnoteReference w:id="67"/>
      </w:r>
      <w:r>
        <w:rPr>
          <w:rFonts w:ascii="Times New Roman" w:eastAsia="Times New Roman" w:hAnsi="Times New Roman" w:cs="Times New Roman"/>
        </w:rPr>
        <w:t>. His successful resistance is commemorated annually. Similarly, the 1980 Gua firing, in which Adivasi protestors were shot inside a hospital, symbolises ongoing police brutality and injustice in the region</w:t>
      </w:r>
      <w:r>
        <w:rPr>
          <w:rFonts w:ascii="Times New Roman" w:eastAsia="Times New Roman" w:hAnsi="Times New Roman" w:cs="Times New Roman"/>
          <w:vertAlign w:val="superscript"/>
        </w:rPr>
        <w:footnoteReference w:id="68"/>
      </w:r>
      <w:r>
        <w:rPr>
          <w:rFonts w:ascii="Times New Roman" w:eastAsia="Times New Roman" w:hAnsi="Times New Roman" w:cs="Times New Roman"/>
        </w:rPr>
        <w:t>. In both instances, acts of protest were met with lethal violence by the state, reflecting colonial patterns of suppression.</w:t>
      </w:r>
    </w:p>
    <w:p w14:paraId="7CBFE129" w14:textId="77777777" w:rsidR="003934E1" w:rsidRDefault="003934E1">
      <w:pPr>
        <w:spacing w:before="240" w:after="240" w:line="360" w:lineRule="auto"/>
        <w:jc w:val="both"/>
        <w:rPr>
          <w:rFonts w:ascii="Times New Roman" w:eastAsia="Times New Roman" w:hAnsi="Times New Roman" w:cs="Times New Roman"/>
        </w:rPr>
      </w:pPr>
    </w:p>
    <w:p w14:paraId="682DD967"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During such incidents (and many others), dialogue remains limited, and the state continues to respond to dissent with force rather than negotiation. While compensation is occasionally offered, deeper demands for justice, recognition, and structural change are often overlooked.</w:t>
      </w:r>
    </w:p>
    <w:p w14:paraId="41FA39D5"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Munda </w:t>
      </w:r>
      <w:proofErr w:type="spellStart"/>
      <w:r>
        <w:rPr>
          <w:rFonts w:ascii="Times New Roman" w:eastAsia="Times New Roman" w:hAnsi="Times New Roman" w:cs="Times New Roman"/>
        </w:rPr>
        <w:t>Manki</w:t>
      </w:r>
      <w:proofErr w:type="spellEnd"/>
      <w:r>
        <w:rPr>
          <w:rFonts w:ascii="Times New Roman" w:eastAsia="Times New Roman" w:hAnsi="Times New Roman" w:cs="Times New Roman"/>
        </w:rPr>
        <w:t xml:space="preserve"> system, once a cornerstone of community autonomy, has now weakened. Decision-making has shifted to Panchayat officials due to the implementation of Panchayati Raj provisions</w:t>
      </w:r>
      <w:r>
        <w:rPr>
          <w:rFonts w:ascii="Times New Roman" w:eastAsia="Times New Roman" w:hAnsi="Times New Roman" w:cs="Times New Roman"/>
          <w:vertAlign w:val="superscript"/>
        </w:rPr>
        <w:footnoteReference w:id="69"/>
      </w:r>
      <w:r>
        <w:rPr>
          <w:rFonts w:ascii="Times New Roman" w:eastAsia="Times New Roman" w:hAnsi="Times New Roman" w:cs="Times New Roman"/>
        </w:rPr>
        <w:t xml:space="preserve">, leaving Ho village headmen with only symbolic roles in governance. Some Ho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avoid responsibilities entirely, as the current administrative structure lacks accountability. </w:t>
      </w:r>
    </w:p>
    <w:p w14:paraId="37896C0F" w14:textId="77777777" w:rsidR="003934E1" w:rsidRDefault="00000000">
      <w:pPr>
        <w:spacing w:before="240" w:after="24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Kolhan’s</w:t>
      </w:r>
      <w:proofErr w:type="spellEnd"/>
      <w:r>
        <w:rPr>
          <w:rFonts w:ascii="Times New Roman" w:eastAsia="Times New Roman" w:hAnsi="Times New Roman" w:cs="Times New Roman"/>
        </w:rPr>
        <w:t xml:space="preserve"> customary courts have limitations of their own. Their jurisdiction is restricted, and delays frequently occur because of the unavailability of native chiefs</w:t>
      </w:r>
      <w:r>
        <w:rPr>
          <w:rFonts w:ascii="Times New Roman" w:eastAsia="Times New Roman" w:hAnsi="Times New Roman" w:cs="Times New Roman"/>
          <w:vertAlign w:val="superscript"/>
        </w:rPr>
        <w:footnoteReference w:id="70"/>
      </w:r>
      <w:r>
        <w:rPr>
          <w:rFonts w:ascii="Times New Roman" w:eastAsia="Times New Roman" w:hAnsi="Times New Roman" w:cs="Times New Roman"/>
        </w:rPr>
        <w:t>. These courts are inadequately equipped to address the needs of the mobile and evolving populations in the country.</w:t>
      </w:r>
    </w:p>
    <w:p w14:paraId="2E034076"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The Ho agency must be understood beyond the mere resistance or resilience narratives of a community. Historical internal divisions post 1837 and the partnership of village headmen with colonial authorities in administration and governance, challenge romanticised ideas of collective resistance</w:t>
      </w:r>
      <w:r>
        <w:rPr>
          <w:rFonts w:ascii="Times New Roman" w:eastAsia="Times New Roman" w:hAnsi="Times New Roman" w:cs="Times New Roman"/>
          <w:vertAlign w:val="superscript"/>
        </w:rPr>
        <w:footnoteReference w:id="71"/>
      </w:r>
      <w:r>
        <w:rPr>
          <w:rFonts w:ascii="Times New Roman" w:eastAsia="Times New Roman" w:hAnsi="Times New Roman" w:cs="Times New Roman"/>
        </w:rPr>
        <w:t xml:space="preserve"> and solidarity. The increasing contributions of Ho people to literature, art, governance and public life reflect alternative forms of engagement and interaction with the larger society.</w:t>
      </w:r>
    </w:p>
    <w:p w14:paraId="4DCCAD82"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Nevertheless, when Ho Adivasis assert claims over land, forests, or territory, they are often portrayed as enduring colonial stereotypes. Without attention to their lived realities, cultural, and political complexities, dominant narratives risk erasing their humanity and agency.</w:t>
      </w:r>
    </w:p>
    <w:p w14:paraId="4029285F" w14:textId="77777777" w:rsidR="003934E1" w:rsidRDefault="003934E1">
      <w:pPr>
        <w:pStyle w:val="Heading2"/>
        <w:keepNext w:val="0"/>
        <w:keepLines w:val="0"/>
        <w:spacing w:before="360" w:line="360" w:lineRule="auto"/>
        <w:jc w:val="both"/>
        <w:rPr>
          <w:rFonts w:ascii="Times New Roman" w:eastAsia="Times New Roman" w:hAnsi="Times New Roman" w:cs="Times New Roman"/>
          <w:b/>
          <w:color w:val="000000"/>
          <w:sz w:val="24"/>
          <w:szCs w:val="24"/>
        </w:rPr>
      </w:pPr>
      <w:bookmarkStart w:id="10" w:name="_heading=h.38hbb4peoli9" w:colFirst="0" w:colLast="0"/>
      <w:bookmarkEnd w:id="10"/>
    </w:p>
    <w:p w14:paraId="05FE9DAE" w14:textId="77777777" w:rsidR="003934E1" w:rsidRDefault="00000000">
      <w:pPr>
        <w:pStyle w:val="Heading2"/>
        <w:keepNext w:val="0"/>
        <w:keepLines w:val="0"/>
        <w:spacing w:before="360" w:line="360" w:lineRule="auto"/>
        <w:jc w:val="both"/>
        <w:rPr>
          <w:rFonts w:ascii="Times New Roman" w:eastAsia="Times New Roman" w:hAnsi="Times New Roman" w:cs="Times New Roman"/>
          <w:b/>
          <w:color w:val="000000"/>
          <w:sz w:val="24"/>
          <w:szCs w:val="24"/>
        </w:rPr>
      </w:pPr>
      <w:bookmarkStart w:id="11" w:name="_heading=h.o18wax2dwvtz" w:colFirst="0" w:colLast="0"/>
      <w:bookmarkEnd w:id="11"/>
      <w:r>
        <w:rPr>
          <w:rFonts w:ascii="Times New Roman" w:eastAsia="Times New Roman" w:hAnsi="Times New Roman" w:cs="Times New Roman"/>
          <w:b/>
          <w:color w:val="000000"/>
          <w:sz w:val="24"/>
          <w:szCs w:val="24"/>
        </w:rPr>
        <w:t>Towards a Decolonial Framework for Tribal Studies</w:t>
      </w:r>
    </w:p>
    <w:p w14:paraId="13F3D589"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This section draws upon the experiences of the Ho Adivasis to propose a decolonial approach to Tribal Studies, one that transcends the conventional treatment of tribal communities as mere subjects of state intervention or ethnographic curiosity. Instead, it emphasises their political agency, knowledge systems and struggles for self-determination.</w:t>
      </w:r>
    </w:p>
    <w:p w14:paraId="0C539A87"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The persistence of colonial institutions, such as Wilkinson’s Rules and the Munda-</w:t>
      </w:r>
      <w:proofErr w:type="spellStart"/>
      <w:r>
        <w:rPr>
          <w:rFonts w:ascii="Times New Roman" w:eastAsia="Times New Roman" w:hAnsi="Times New Roman" w:cs="Times New Roman"/>
        </w:rPr>
        <w:t>Manki</w:t>
      </w:r>
      <w:proofErr w:type="spellEnd"/>
      <w:r>
        <w:rPr>
          <w:rFonts w:ascii="Times New Roman" w:eastAsia="Times New Roman" w:hAnsi="Times New Roman" w:cs="Times New Roman"/>
        </w:rPr>
        <w:t xml:space="preserve"> system, exemplifies what Quijano and Ennis (2000) describe as the coloniality of power, wherein hierarchies of knowledge, existence, and governance persist beyond formal colonialism. For Ho and other Indigenous groups, this implies that their lives are shaped by legal and administrative structures rooted in colonial domination.</w:t>
      </w:r>
    </w:p>
    <w:p w14:paraId="7E5BD188"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Colonial epistemologies, which have historically portrayed Indigenous communities as primitive or rebellious, continue to influence policies, laws, and academic discourse. As Smith (1999) contended, colonial knowledge practices misrepresent Indigenous peoples and reshape their realities to justify their control. This epistemic violence disconnects Adivasi knowledge from mainstream discourse, relegating it to the margins. Foucault and Gordon’s (1980) elucidation that knowledge is inseparable from power explains how Indigenous voices are systematically excluded from the discourse.</w:t>
      </w:r>
    </w:p>
    <w:p w14:paraId="238239DB"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Decolonial framework demands an active departure from exclusionary logics. Bodhi (2022a) critiques the dominance of non-Adivasi scholarship in shaping narratives about tribal life, describing this stagnation as an “interregnum crisis”. Adivasi intellectuals are largely excluded from the frameworks that govern their realities.</w:t>
      </w:r>
    </w:p>
    <w:p w14:paraId="55F24C2A"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calls for epistemic disobedience, rejection of dominant methodologies, and affirmation of diverse knowledge systems. Thiong’o’s (1986) notion of decolonising the mind encourages scholars to repudiate inherited frameworks and embrace </w:t>
      </w:r>
      <w:proofErr w:type="spellStart"/>
      <w:r>
        <w:rPr>
          <w:rFonts w:ascii="Times New Roman" w:eastAsia="Times New Roman" w:hAnsi="Times New Roman" w:cs="Times New Roman"/>
        </w:rPr>
        <w:t>pluriversal</w:t>
      </w:r>
      <w:proofErr w:type="spellEnd"/>
      <w:r>
        <w:rPr>
          <w:rFonts w:ascii="Times New Roman" w:eastAsia="Times New Roman" w:hAnsi="Times New Roman" w:cs="Times New Roman"/>
        </w:rPr>
        <w:t xml:space="preserve"> understandings that respect multiple ways of knowing and being.</w:t>
      </w:r>
    </w:p>
    <w:p w14:paraId="4B60DDA5"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Decolonial research must critically reassess the foundations of knowledge production. Colonial systems devalued oral traditions, rituals, and historical accounts. These must be reclaimed, not as supplemental, but as legitimate sources of historical and political knowledge. Tripura (2023) emphasises that dominant caste scholars must reflect on how caste shapes their interpretation of tribal communities. Indigenous communities must be recognised, not as objects of study, but as knowledge producers in their own right.</w:t>
      </w:r>
    </w:p>
    <w:p w14:paraId="5E23DC7B"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Methodologies must align with Indigenous worldviews to be effective. Scholars such as Smith (1999), Wilson (2008), and Kovach (2021) have stressed the importance of relational accountability, cultural safety, and community-defined priorities in Indigenous research. Martin and </w:t>
      </w:r>
      <w:proofErr w:type="spellStart"/>
      <w:r>
        <w:rPr>
          <w:rFonts w:ascii="Times New Roman" w:eastAsia="Times New Roman" w:hAnsi="Times New Roman" w:cs="Times New Roman"/>
        </w:rPr>
        <w:t>Mirraboopa</w:t>
      </w:r>
      <w:proofErr w:type="spellEnd"/>
      <w:r>
        <w:rPr>
          <w:rFonts w:ascii="Times New Roman" w:eastAsia="Times New Roman" w:hAnsi="Times New Roman" w:cs="Times New Roman"/>
        </w:rPr>
        <w:t xml:space="preserve"> (2003) advocate for research rooted in Indigenous ways of knowing </w:t>
      </w:r>
      <w:r>
        <w:rPr>
          <w:rFonts w:ascii="Times New Roman" w:eastAsia="Times New Roman" w:hAnsi="Times New Roman" w:cs="Times New Roman"/>
        </w:rPr>
        <w:lastRenderedPageBreak/>
        <w:t>(epistemology), being (ontology), and doing (method)–a framework that resists extractive research.</w:t>
      </w:r>
    </w:p>
    <w:p w14:paraId="20CE36D9"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For Indigenous researchers, including Adivasi scholars, decolonial knowledge production is inherently reflexive in nature. It demands ongoing engagement with the questions of: What are we focusing on? What conceptual tools are being employed? To which debates in Tribal Studies are we contributing? As </w:t>
      </w: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xml:space="preserve"> (2008) reminds us, tribal societies are not static; they evolve and are shaped by internal and external factors, and it is vital to recognise the diversity within tribal communities. </w:t>
      </w:r>
    </w:p>
    <w:p w14:paraId="221AE658" w14:textId="77777777" w:rsidR="003934E1" w:rsidRDefault="00000000">
      <w:pPr>
        <w:spacing w:before="240" w:after="240" w:line="360" w:lineRule="auto"/>
        <w:jc w:val="both"/>
        <w:rPr>
          <w:rFonts w:ascii="Times New Roman" w:eastAsia="Times New Roman" w:hAnsi="Times New Roman" w:cs="Times New Roman"/>
        </w:rPr>
        <w:sectPr w:rsidR="003934E1">
          <w:type w:val="continuous"/>
          <w:pgSz w:w="11900" w:h="16840"/>
          <w:pgMar w:top="1440" w:right="1440" w:bottom="1440" w:left="1440" w:header="720" w:footer="720" w:gutter="0"/>
          <w:cols w:space="720"/>
        </w:sectPr>
      </w:pPr>
      <w:r>
        <w:rPr>
          <w:rFonts w:ascii="Times New Roman" w:eastAsia="Times New Roman" w:hAnsi="Times New Roman" w:cs="Times New Roman"/>
        </w:rPr>
        <w:t>Ultimately, decolonial approaches aim to restore intellectual and political sovereignty. This entails creating autonomous spaces where Indigenous communities can articulate their narratives, set their priorities, and shape their futures. As Altas (2024) suggests, true emancipation lies in rejecting the need for validation within Eurocentric frameworks. Adivasi scholars and communities must assert their truths through their own philosophical, historical, and political grammars.</w:t>
      </w:r>
    </w:p>
    <w:p w14:paraId="7D038AB1" w14:textId="77777777" w:rsidR="003934E1" w:rsidRDefault="003934E1">
      <w:pPr>
        <w:spacing w:before="240" w:after="240" w:line="360" w:lineRule="auto"/>
        <w:jc w:val="both"/>
        <w:rPr>
          <w:rFonts w:ascii="Times New Roman" w:eastAsia="Times New Roman" w:hAnsi="Times New Roman" w:cs="Times New Roman"/>
        </w:rPr>
      </w:pPr>
    </w:p>
    <w:p w14:paraId="0BECA882" w14:textId="77777777" w:rsidR="003934E1" w:rsidRDefault="00000000">
      <w:pPr>
        <w:pStyle w:val="Heading2"/>
        <w:keepNext w:val="0"/>
        <w:keepLines w:val="0"/>
        <w:spacing w:before="360" w:line="360" w:lineRule="auto"/>
        <w:jc w:val="both"/>
        <w:rPr>
          <w:rFonts w:ascii="Times New Roman" w:eastAsia="Times New Roman" w:hAnsi="Times New Roman" w:cs="Times New Roman"/>
          <w:b/>
          <w:color w:val="000000"/>
          <w:sz w:val="24"/>
          <w:szCs w:val="24"/>
        </w:rPr>
      </w:pPr>
      <w:bookmarkStart w:id="12" w:name="_heading=h.48b75ctktld9" w:colFirst="0" w:colLast="0"/>
      <w:bookmarkEnd w:id="12"/>
      <w:r>
        <w:rPr>
          <w:rFonts w:ascii="Times New Roman" w:eastAsia="Times New Roman" w:hAnsi="Times New Roman" w:cs="Times New Roman"/>
          <w:b/>
          <w:color w:val="000000"/>
          <w:sz w:val="24"/>
          <w:szCs w:val="24"/>
        </w:rPr>
        <w:t>Conclusion</w:t>
      </w:r>
    </w:p>
    <w:p w14:paraId="11092E9D"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study examines the enduring influence of colonial legacies on Indigenous-state relations in India, focusing on the Ho Adivasis of Jharkhand. This study elucidates how governance structures, legal frameworks, and perceptions established during British colonial rule continue to shape Ho community–Indian state interactions in the post-independence era. </w:t>
      </w:r>
    </w:p>
    <w:p w14:paraId="284DF708"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 xml:space="preserve">Key findings include: </w:t>
      </w:r>
    </w:p>
    <w:p w14:paraId="520AB802" w14:textId="77777777" w:rsidR="003934E1" w:rsidRDefault="00000000">
      <w:pPr>
        <w:numPr>
          <w:ilvl w:val="0"/>
          <w:numId w:val="12"/>
        </w:num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The persistence of colonial administrative systems, such as Wilkinson's Rules and the Munda-</w:t>
      </w:r>
      <w:proofErr w:type="spellStart"/>
      <w:r>
        <w:rPr>
          <w:rFonts w:ascii="Times New Roman" w:eastAsia="Times New Roman" w:hAnsi="Times New Roman" w:cs="Times New Roman"/>
        </w:rPr>
        <w:t>Manki</w:t>
      </w:r>
      <w:proofErr w:type="spellEnd"/>
      <w:r>
        <w:rPr>
          <w:rFonts w:ascii="Times New Roman" w:eastAsia="Times New Roman" w:hAnsi="Times New Roman" w:cs="Times New Roman"/>
        </w:rPr>
        <w:t xml:space="preserve"> system, continues to affect land relations and the resolution of disputes. </w:t>
      </w:r>
    </w:p>
    <w:p w14:paraId="00421739" w14:textId="77777777" w:rsidR="003934E1" w:rsidRDefault="00000000">
      <w:pPr>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continuity of colonial patterns of suspicion, marginalisation, and control in post-independence policies is particularly evident in forest governance and political mobilisation responses. </w:t>
      </w:r>
    </w:p>
    <w:p w14:paraId="028187CE" w14:textId="77777777" w:rsidR="003934E1" w:rsidRDefault="00000000">
      <w:pPr>
        <w:numPr>
          <w:ilvl w:val="0"/>
          <w:numId w:val="12"/>
        </w:num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Ho Adivasi agency is expressed through resistance, cultural practices, and demands for autonomy, challenging narratives of passivity. </w:t>
      </w:r>
    </w:p>
    <w:p w14:paraId="3E438FC0" w14:textId="77777777" w:rsidR="003934E1" w:rsidRDefault="00000000">
      <w:pPr>
        <w:numPr>
          <w:ilvl w:val="0"/>
          <w:numId w:val="12"/>
        </w:numPr>
        <w:spacing w:after="24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necessity for a decolonial approach that centres Adivasi epistemologies and acknowledges historical injustices. </w:t>
      </w:r>
    </w:p>
    <w:p w14:paraId="40EE9D84" w14:textId="77777777" w:rsidR="003934E1" w:rsidRDefault="00000000">
      <w:pPr>
        <w:spacing w:before="240" w:after="240" w:line="360" w:lineRule="auto"/>
        <w:jc w:val="both"/>
        <w:rPr>
          <w:rFonts w:ascii="Times New Roman" w:eastAsia="Times New Roman" w:hAnsi="Times New Roman" w:cs="Times New Roman"/>
        </w:rPr>
      </w:pPr>
      <w:r>
        <w:rPr>
          <w:rFonts w:ascii="Times New Roman" w:eastAsia="Times New Roman" w:hAnsi="Times New Roman" w:cs="Times New Roman"/>
        </w:rPr>
        <w:t>This study underscores the importance of reimagining governance structures to respect Indigenous rights and knowledge. This calls for policies that prioritise Adivasi voices, recognise past injustices, and support their right to self-determination. Future research should continue to challenge dominant narratives and centre Indigenous perspectives to foster more equitable state-Adivasi relations.</w:t>
      </w:r>
    </w:p>
    <w:p w14:paraId="1D1DB6A2" w14:textId="77777777" w:rsidR="003934E1" w:rsidRDefault="003934E1">
      <w:pPr>
        <w:spacing w:line="360" w:lineRule="auto"/>
        <w:rPr>
          <w:rFonts w:ascii="Times New Roman" w:eastAsia="Times New Roman" w:hAnsi="Times New Roman" w:cs="Times New Roman"/>
        </w:rPr>
      </w:pPr>
    </w:p>
    <w:p w14:paraId="17F42AFD" w14:textId="77777777" w:rsidR="003934E1" w:rsidRDefault="003934E1">
      <w:pPr>
        <w:spacing w:line="360" w:lineRule="auto"/>
        <w:rPr>
          <w:rFonts w:ascii="Times New Roman" w:eastAsia="Times New Roman" w:hAnsi="Times New Roman" w:cs="Times New Roman"/>
        </w:rPr>
      </w:pPr>
    </w:p>
    <w:p w14:paraId="0D21DFFD" w14:textId="77777777" w:rsidR="003934E1" w:rsidRDefault="003934E1">
      <w:pPr>
        <w:spacing w:line="360" w:lineRule="auto"/>
        <w:rPr>
          <w:rFonts w:ascii="Times New Roman" w:eastAsia="Times New Roman" w:hAnsi="Times New Roman" w:cs="Times New Roman"/>
        </w:rPr>
      </w:pPr>
    </w:p>
    <w:p w14:paraId="679AA99A" w14:textId="77777777" w:rsidR="003934E1" w:rsidRDefault="003934E1">
      <w:pPr>
        <w:spacing w:line="360" w:lineRule="auto"/>
        <w:rPr>
          <w:rFonts w:ascii="Times New Roman" w:eastAsia="Times New Roman" w:hAnsi="Times New Roman" w:cs="Times New Roman"/>
        </w:rPr>
      </w:pPr>
    </w:p>
    <w:p w14:paraId="336957BB" w14:textId="77777777" w:rsidR="003934E1" w:rsidRDefault="003934E1">
      <w:pPr>
        <w:spacing w:line="360" w:lineRule="auto"/>
        <w:rPr>
          <w:rFonts w:ascii="Times New Roman" w:eastAsia="Times New Roman" w:hAnsi="Times New Roman" w:cs="Times New Roman"/>
        </w:rPr>
      </w:pPr>
    </w:p>
    <w:p w14:paraId="6B577227" w14:textId="77777777" w:rsidR="003934E1" w:rsidRDefault="003934E1">
      <w:pPr>
        <w:spacing w:line="360" w:lineRule="auto"/>
        <w:rPr>
          <w:rFonts w:ascii="Times New Roman" w:eastAsia="Times New Roman" w:hAnsi="Times New Roman" w:cs="Times New Roman"/>
        </w:rPr>
      </w:pPr>
    </w:p>
    <w:p w14:paraId="14C33E7A" w14:textId="77777777" w:rsidR="003934E1" w:rsidRDefault="003934E1">
      <w:pPr>
        <w:spacing w:line="360" w:lineRule="auto"/>
        <w:rPr>
          <w:rFonts w:ascii="Times New Roman" w:eastAsia="Times New Roman" w:hAnsi="Times New Roman" w:cs="Times New Roman"/>
        </w:rPr>
      </w:pPr>
    </w:p>
    <w:p w14:paraId="21408EFC" w14:textId="77777777" w:rsidR="003934E1" w:rsidRDefault="003934E1">
      <w:pPr>
        <w:spacing w:line="360" w:lineRule="auto"/>
        <w:rPr>
          <w:rFonts w:ascii="Times New Roman" w:eastAsia="Times New Roman" w:hAnsi="Times New Roman" w:cs="Times New Roman"/>
        </w:rPr>
      </w:pPr>
    </w:p>
    <w:p w14:paraId="44BA2A05" w14:textId="77777777" w:rsidR="003934E1"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t>References</w:t>
      </w:r>
    </w:p>
    <w:p w14:paraId="34EADECE" w14:textId="77777777" w:rsidR="003934E1" w:rsidRDefault="003934E1">
      <w:pPr>
        <w:spacing w:line="276" w:lineRule="auto"/>
        <w:rPr>
          <w:rFonts w:ascii="Times New Roman" w:eastAsia="Times New Roman" w:hAnsi="Times New Roman" w:cs="Times New Roman"/>
          <w:b/>
          <w:sz w:val="20"/>
          <w:szCs w:val="20"/>
          <w:u w:val="single"/>
        </w:rPr>
      </w:pPr>
    </w:p>
    <w:p w14:paraId="31724846" w14:textId="77777777" w:rsidR="003934E1" w:rsidRDefault="00000000">
      <w:pPr>
        <w:spacing w:line="276"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Archival Sources</w:t>
      </w:r>
    </w:p>
    <w:p w14:paraId="084B6B31" w14:textId="77777777" w:rsidR="003934E1" w:rsidRDefault="003934E1">
      <w:pPr>
        <w:spacing w:line="276" w:lineRule="auto"/>
        <w:rPr>
          <w:rFonts w:ascii="Times New Roman" w:eastAsia="Times New Roman" w:hAnsi="Times New Roman" w:cs="Times New Roman"/>
          <w:sz w:val="20"/>
          <w:szCs w:val="20"/>
        </w:rPr>
      </w:pPr>
    </w:p>
    <w:p w14:paraId="505BEE66" w14:textId="77777777" w:rsidR="003934E1" w:rsidRDefault="00000000">
      <w:pPr>
        <w:numPr>
          <w:ilvl w:val="0"/>
          <w:numId w:val="8"/>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Collen, E. W. (1898). Final Report on the Settlement of the </w:t>
      </w:r>
      <w:proofErr w:type="spellStart"/>
      <w:r>
        <w:rPr>
          <w:rFonts w:ascii="Times New Roman" w:eastAsia="Times New Roman" w:hAnsi="Times New Roman" w:cs="Times New Roman"/>
          <w:sz w:val="20"/>
          <w:szCs w:val="20"/>
        </w:rPr>
        <w:t>Kolhan</w:t>
      </w:r>
      <w:proofErr w:type="spellEnd"/>
      <w:r>
        <w:rPr>
          <w:rFonts w:ascii="Times New Roman" w:eastAsia="Times New Roman" w:hAnsi="Times New Roman" w:cs="Times New Roman"/>
          <w:sz w:val="20"/>
          <w:szCs w:val="20"/>
        </w:rPr>
        <w:t xml:space="preserve"> Government Estate. Bengal Secretariat Press.</w:t>
      </w:r>
    </w:p>
    <w:p w14:paraId="71D59059" w14:textId="77777777" w:rsidR="003934E1" w:rsidRDefault="00000000">
      <w:pPr>
        <w:numPr>
          <w:ilvl w:val="0"/>
          <w:numId w:val="8"/>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O’Malley, L. S. S. (1910). Bengal District Gazetteers: </w:t>
      </w:r>
      <w:proofErr w:type="spellStart"/>
      <w:r>
        <w:rPr>
          <w:rFonts w:ascii="Times New Roman" w:eastAsia="Times New Roman" w:hAnsi="Times New Roman" w:cs="Times New Roman"/>
          <w:sz w:val="20"/>
          <w:szCs w:val="20"/>
        </w:rPr>
        <w:t>Singhbhum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Saraikela</w:t>
      </w:r>
      <w:proofErr w:type="spellEnd"/>
      <w:r>
        <w:rPr>
          <w:rFonts w:ascii="Times New Roman" w:eastAsia="Times New Roman" w:hAnsi="Times New Roman" w:cs="Times New Roman"/>
          <w:sz w:val="20"/>
          <w:szCs w:val="20"/>
        </w:rPr>
        <w:t xml:space="preserve"> and </w:t>
      </w:r>
      <w:proofErr w:type="spellStart"/>
      <w:r>
        <w:rPr>
          <w:rFonts w:ascii="Times New Roman" w:eastAsia="Times New Roman" w:hAnsi="Times New Roman" w:cs="Times New Roman"/>
          <w:sz w:val="20"/>
          <w:szCs w:val="20"/>
        </w:rPr>
        <w:t>Kharsawan</w:t>
      </w:r>
      <w:proofErr w:type="spellEnd"/>
      <w:r>
        <w:rPr>
          <w:rFonts w:ascii="Times New Roman" w:eastAsia="Times New Roman" w:hAnsi="Times New Roman" w:cs="Times New Roman"/>
          <w:sz w:val="20"/>
          <w:szCs w:val="20"/>
        </w:rPr>
        <w:t>. Bengal Secretariat Book Depot.</w:t>
      </w:r>
    </w:p>
    <w:p w14:paraId="290FA99C" w14:textId="77777777" w:rsidR="003934E1" w:rsidRDefault="00000000">
      <w:pPr>
        <w:numPr>
          <w:ilvl w:val="0"/>
          <w:numId w:val="8"/>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Roy Chaudhury, P. C. (1958). Bihar District Gazetteers: </w:t>
      </w:r>
      <w:proofErr w:type="spellStart"/>
      <w:r>
        <w:rPr>
          <w:rFonts w:ascii="Times New Roman" w:eastAsia="Times New Roman" w:hAnsi="Times New Roman" w:cs="Times New Roman"/>
          <w:sz w:val="20"/>
          <w:szCs w:val="20"/>
        </w:rPr>
        <w:t>Singhbhum</w:t>
      </w:r>
      <w:proofErr w:type="spellEnd"/>
      <w:r>
        <w:rPr>
          <w:rFonts w:ascii="Times New Roman" w:eastAsia="Times New Roman" w:hAnsi="Times New Roman" w:cs="Times New Roman"/>
          <w:sz w:val="20"/>
          <w:szCs w:val="20"/>
        </w:rPr>
        <w:t>. The Superintendent Secretariat Press.</w:t>
      </w:r>
    </w:p>
    <w:p w14:paraId="58EA8223" w14:textId="77777777" w:rsidR="003934E1" w:rsidRDefault="003934E1">
      <w:pPr>
        <w:spacing w:line="276" w:lineRule="auto"/>
        <w:ind w:left="720"/>
        <w:rPr>
          <w:rFonts w:ascii="Times New Roman" w:eastAsia="Times New Roman" w:hAnsi="Times New Roman" w:cs="Times New Roman"/>
          <w:sz w:val="20"/>
          <w:szCs w:val="20"/>
        </w:rPr>
      </w:pPr>
    </w:p>
    <w:p w14:paraId="378F68F5" w14:textId="77777777" w:rsidR="003934E1" w:rsidRDefault="003934E1">
      <w:pPr>
        <w:spacing w:line="276" w:lineRule="auto"/>
        <w:rPr>
          <w:rFonts w:ascii="Times New Roman" w:eastAsia="Times New Roman" w:hAnsi="Times New Roman" w:cs="Times New Roman"/>
          <w:b/>
          <w:sz w:val="20"/>
          <w:szCs w:val="20"/>
          <w:u w:val="single"/>
        </w:rPr>
      </w:pPr>
    </w:p>
    <w:p w14:paraId="13BA5C98" w14:textId="77777777" w:rsidR="003934E1" w:rsidRDefault="00000000">
      <w:pPr>
        <w:spacing w:line="276"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Books/ Articles</w:t>
      </w:r>
    </w:p>
    <w:p w14:paraId="6F7EE1AC" w14:textId="77777777" w:rsidR="003934E1" w:rsidRDefault="003934E1">
      <w:pPr>
        <w:spacing w:line="276" w:lineRule="auto"/>
        <w:rPr>
          <w:rFonts w:ascii="Times New Roman" w:eastAsia="Times New Roman" w:hAnsi="Times New Roman" w:cs="Times New Roman"/>
          <w:sz w:val="20"/>
          <w:szCs w:val="20"/>
        </w:rPr>
      </w:pPr>
    </w:p>
    <w:p w14:paraId="71A474FF" w14:textId="77777777" w:rsidR="003934E1" w:rsidRDefault="00000000">
      <w:pPr>
        <w:numPr>
          <w:ilvl w:val="0"/>
          <w:numId w:val="4"/>
        </w:numPr>
        <w:spacing w:line="48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Alatas</w:t>
      </w:r>
      <w:proofErr w:type="spellEnd"/>
      <w:r>
        <w:rPr>
          <w:rFonts w:ascii="Times New Roman" w:eastAsia="Times New Roman" w:hAnsi="Times New Roman" w:cs="Times New Roman"/>
          <w:sz w:val="20"/>
          <w:szCs w:val="20"/>
        </w:rPr>
        <w:t xml:space="preserve">, S. F. (2024). The Coloniality of Knowledge and the Autonomous Knowledge Tradition. </w:t>
      </w:r>
      <w:r>
        <w:rPr>
          <w:rFonts w:ascii="Times New Roman" w:eastAsia="Times New Roman" w:hAnsi="Times New Roman" w:cs="Times New Roman"/>
          <w:i/>
          <w:sz w:val="20"/>
          <w:szCs w:val="20"/>
        </w:rPr>
        <w:t>Sociology Compass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18</w:t>
      </w:r>
      <w:r>
        <w:rPr>
          <w:rFonts w:ascii="Times New Roman" w:eastAsia="Times New Roman" w:hAnsi="Times New Roman" w:cs="Times New Roman"/>
          <w:sz w:val="20"/>
          <w:szCs w:val="20"/>
        </w:rPr>
        <w:t>(8).</w:t>
      </w:r>
      <w:hyperlink r:id="rId28">
        <w:r w:rsidR="003934E1">
          <w:rPr>
            <w:rFonts w:ascii="Times New Roman" w:eastAsia="Times New Roman" w:hAnsi="Times New Roman" w:cs="Times New Roman"/>
            <w:sz w:val="20"/>
            <w:szCs w:val="20"/>
          </w:rPr>
          <w:t xml:space="preserve"> </w:t>
        </w:r>
      </w:hyperlink>
      <w:hyperlink r:id="rId29">
        <w:r w:rsidR="003934E1">
          <w:rPr>
            <w:rFonts w:ascii="Times New Roman" w:eastAsia="Times New Roman" w:hAnsi="Times New Roman" w:cs="Times New Roman"/>
            <w:color w:val="1155CC"/>
            <w:sz w:val="20"/>
            <w:szCs w:val="20"/>
            <w:u w:val="single"/>
          </w:rPr>
          <w:t>https://doi.org/10.1111/soc4.13256</w:t>
        </w:r>
      </w:hyperlink>
    </w:p>
    <w:p w14:paraId="4D296208" w14:textId="77777777" w:rsidR="003934E1" w:rsidRDefault="00000000">
      <w:pPr>
        <w:numPr>
          <w:ilvl w:val="0"/>
          <w:numId w:val="4"/>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Bodhi, S. R. (2022a). The decolonial-historical approach in social sciences research: its methodological contours. J. Tribal Intellect. Collect. India 6, 1–12.</w:t>
      </w:r>
    </w:p>
    <w:p w14:paraId="47A2AF70" w14:textId="77777777" w:rsidR="003934E1" w:rsidRDefault="00000000">
      <w:pPr>
        <w:numPr>
          <w:ilvl w:val="0"/>
          <w:numId w:val="4"/>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Foucault, M., &amp; Gordon, C. (1980). </w:t>
      </w:r>
      <w:r>
        <w:rPr>
          <w:rFonts w:ascii="Times New Roman" w:eastAsia="Times New Roman" w:hAnsi="Times New Roman" w:cs="Times New Roman"/>
          <w:i/>
          <w:sz w:val="20"/>
          <w:szCs w:val="20"/>
        </w:rPr>
        <w:t>Power/knowledge: Selected interviews and other writings, 1972-1977</w:t>
      </w:r>
      <w:r>
        <w:rPr>
          <w:rFonts w:ascii="Times New Roman" w:eastAsia="Times New Roman" w:hAnsi="Times New Roman" w:cs="Times New Roman"/>
          <w:sz w:val="20"/>
          <w:szCs w:val="20"/>
        </w:rPr>
        <w:t xml:space="preserve"> (1st American ed). Pantheon Books.</w:t>
      </w:r>
    </w:p>
    <w:p w14:paraId="4731300F" w14:textId="77777777" w:rsidR="003934E1" w:rsidRDefault="00000000">
      <w:pPr>
        <w:numPr>
          <w:ilvl w:val="0"/>
          <w:numId w:val="4"/>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Jha, J. C. (1958). THE KOL RISING OF CHOTANAGPUR (1831-33)—ITS CAUSES. </w:t>
      </w:r>
      <w:r>
        <w:rPr>
          <w:rFonts w:ascii="Times New Roman" w:eastAsia="Times New Roman" w:hAnsi="Times New Roman" w:cs="Times New Roman"/>
          <w:i/>
          <w:sz w:val="20"/>
          <w:szCs w:val="20"/>
        </w:rPr>
        <w:t>Proceedings of the Indian History Congress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21</w:t>
      </w:r>
      <w:r>
        <w:rPr>
          <w:rFonts w:ascii="Times New Roman" w:eastAsia="Times New Roman" w:hAnsi="Times New Roman" w:cs="Times New Roman"/>
          <w:sz w:val="20"/>
          <w:szCs w:val="20"/>
        </w:rPr>
        <w:t xml:space="preserve">, 440–446. </w:t>
      </w:r>
      <w:hyperlink r:id="rId30">
        <w:r w:rsidR="003934E1">
          <w:rPr>
            <w:rFonts w:ascii="Times New Roman" w:eastAsia="Times New Roman" w:hAnsi="Times New Roman" w:cs="Times New Roman"/>
            <w:color w:val="1155CC"/>
            <w:sz w:val="20"/>
            <w:szCs w:val="20"/>
            <w:u w:val="single"/>
          </w:rPr>
          <w:t>http://www.jstor.org/stable/44145239</w:t>
        </w:r>
      </w:hyperlink>
    </w:p>
    <w:p w14:paraId="450D7728" w14:textId="77777777" w:rsidR="003934E1" w:rsidRDefault="00000000">
      <w:pPr>
        <w:numPr>
          <w:ilvl w:val="0"/>
          <w:numId w:val="4"/>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Kovach, M. (2021). Indigenous methodologies: Characteristics, conversations, and contexts (Second edition). University of Toronto Press.</w:t>
      </w:r>
    </w:p>
    <w:p w14:paraId="30A10CDA" w14:textId="77777777" w:rsidR="003934E1" w:rsidRDefault="00000000">
      <w:pPr>
        <w:numPr>
          <w:ilvl w:val="0"/>
          <w:numId w:val="4"/>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Kumar, A. (2001). AN UNKNOWN CHAPTER OF KOL-INSURRECTION. Proceedings of the Indian History Congress, 62, 621–626. </w:t>
      </w:r>
      <w:hyperlink r:id="rId31">
        <w:r w:rsidR="003934E1">
          <w:rPr>
            <w:rFonts w:ascii="Times New Roman" w:eastAsia="Times New Roman" w:hAnsi="Times New Roman" w:cs="Times New Roman"/>
            <w:color w:val="1155CC"/>
            <w:sz w:val="20"/>
            <w:szCs w:val="20"/>
            <w:u w:val="single"/>
          </w:rPr>
          <w:t>http://www.jstor.org/stable/44155808</w:t>
        </w:r>
      </w:hyperlink>
    </w:p>
    <w:p w14:paraId="2D76E070" w14:textId="77777777" w:rsidR="003934E1" w:rsidRDefault="003934E1">
      <w:pPr>
        <w:spacing w:line="276" w:lineRule="auto"/>
        <w:ind w:left="720"/>
        <w:rPr>
          <w:rFonts w:ascii="Times New Roman" w:eastAsia="Times New Roman" w:hAnsi="Times New Roman" w:cs="Times New Roman"/>
          <w:sz w:val="20"/>
          <w:szCs w:val="20"/>
        </w:rPr>
      </w:pPr>
    </w:p>
    <w:p w14:paraId="448CE8FA" w14:textId="77777777" w:rsidR="003934E1" w:rsidRDefault="00000000">
      <w:pPr>
        <w:numPr>
          <w:ilvl w:val="0"/>
          <w:numId w:val="4"/>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Martin, K., &amp; </w:t>
      </w:r>
      <w:proofErr w:type="spellStart"/>
      <w:r>
        <w:rPr>
          <w:rFonts w:ascii="Times New Roman" w:eastAsia="Times New Roman" w:hAnsi="Times New Roman" w:cs="Times New Roman"/>
          <w:sz w:val="20"/>
          <w:szCs w:val="20"/>
        </w:rPr>
        <w:t>Mirraboopa</w:t>
      </w:r>
      <w:proofErr w:type="spellEnd"/>
      <w:r>
        <w:rPr>
          <w:rFonts w:ascii="Times New Roman" w:eastAsia="Times New Roman" w:hAnsi="Times New Roman" w:cs="Times New Roman"/>
          <w:sz w:val="20"/>
          <w:szCs w:val="20"/>
        </w:rPr>
        <w:t xml:space="preserve">, B. (2003). Ways of knowing, being and doing: A theoretical framework and methods for indigenous and indigenist re‐search. </w:t>
      </w:r>
      <w:r>
        <w:rPr>
          <w:rFonts w:ascii="Times New Roman" w:eastAsia="Times New Roman" w:hAnsi="Times New Roman" w:cs="Times New Roman"/>
          <w:i/>
          <w:sz w:val="20"/>
          <w:szCs w:val="20"/>
        </w:rPr>
        <w:t>Journal of Australian Studies</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27</w:t>
      </w:r>
      <w:r>
        <w:rPr>
          <w:rFonts w:ascii="Times New Roman" w:eastAsia="Times New Roman" w:hAnsi="Times New Roman" w:cs="Times New Roman"/>
          <w:sz w:val="20"/>
          <w:szCs w:val="20"/>
        </w:rPr>
        <w:t xml:space="preserve">(76), 203–214. </w:t>
      </w:r>
      <w:hyperlink r:id="rId32">
        <w:r w:rsidR="003934E1">
          <w:rPr>
            <w:rFonts w:ascii="Times New Roman" w:eastAsia="Times New Roman" w:hAnsi="Times New Roman" w:cs="Times New Roman"/>
            <w:color w:val="1155CC"/>
            <w:sz w:val="20"/>
            <w:szCs w:val="20"/>
            <w:u w:val="single"/>
          </w:rPr>
          <w:t>https://doi.org/10.1080/14443050309387838</w:t>
        </w:r>
      </w:hyperlink>
    </w:p>
    <w:p w14:paraId="6CD292D0" w14:textId="77777777" w:rsidR="003934E1" w:rsidRDefault="003934E1">
      <w:pPr>
        <w:spacing w:line="276" w:lineRule="auto"/>
        <w:ind w:left="720"/>
        <w:rPr>
          <w:rFonts w:ascii="Times New Roman" w:eastAsia="Times New Roman" w:hAnsi="Times New Roman" w:cs="Times New Roman"/>
          <w:sz w:val="20"/>
          <w:szCs w:val="20"/>
        </w:rPr>
      </w:pPr>
    </w:p>
    <w:p w14:paraId="65572727" w14:textId="77777777" w:rsidR="003934E1" w:rsidRDefault="00000000">
      <w:pPr>
        <w:numPr>
          <w:ilvl w:val="0"/>
          <w:numId w:val="4"/>
        </w:numPr>
        <w:spacing w:line="48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Nepantla</w:t>
      </w:r>
      <w:proofErr w:type="spellEnd"/>
      <w:r>
        <w:rPr>
          <w:rFonts w:ascii="Times New Roman" w:eastAsia="Times New Roman" w:hAnsi="Times New Roman" w:cs="Times New Roman"/>
          <w:sz w:val="20"/>
          <w:szCs w:val="20"/>
        </w:rPr>
        <w:t xml:space="preserve">: Views from South 1(3), 533-580. </w:t>
      </w:r>
      <w:hyperlink r:id="rId33">
        <w:r w:rsidR="003934E1">
          <w:rPr>
            <w:rFonts w:ascii="Times New Roman" w:eastAsia="Times New Roman" w:hAnsi="Times New Roman" w:cs="Times New Roman"/>
            <w:color w:val="1155CC"/>
            <w:sz w:val="20"/>
            <w:szCs w:val="20"/>
            <w:u w:val="single"/>
          </w:rPr>
          <w:t>https://muse.jhu.edu/article/23906</w:t>
        </w:r>
      </w:hyperlink>
    </w:p>
    <w:p w14:paraId="5B85EB18" w14:textId="77777777" w:rsidR="003934E1" w:rsidRDefault="00000000">
      <w:pPr>
        <w:numPr>
          <w:ilvl w:val="0"/>
          <w:numId w:val="4"/>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Ngũgĩ </w:t>
      </w:r>
      <w:proofErr w:type="spellStart"/>
      <w:r>
        <w:rPr>
          <w:rFonts w:ascii="Times New Roman" w:eastAsia="Times New Roman" w:hAnsi="Times New Roman" w:cs="Times New Roman"/>
          <w:sz w:val="20"/>
          <w:szCs w:val="20"/>
        </w:rPr>
        <w:t>wa</w:t>
      </w:r>
      <w:proofErr w:type="spellEnd"/>
      <w:r>
        <w:rPr>
          <w:rFonts w:ascii="Times New Roman" w:eastAsia="Times New Roman" w:hAnsi="Times New Roman" w:cs="Times New Roman"/>
          <w:sz w:val="20"/>
          <w:szCs w:val="20"/>
        </w:rPr>
        <w:t xml:space="preserve"> Thiong’o. (1986). </w:t>
      </w:r>
      <w:r>
        <w:rPr>
          <w:rFonts w:ascii="Times New Roman" w:eastAsia="Times New Roman" w:hAnsi="Times New Roman" w:cs="Times New Roman"/>
          <w:i/>
          <w:sz w:val="20"/>
          <w:szCs w:val="20"/>
        </w:rPr>
        <w:t>Decolonizing the mind: The politics of language in African literature</w:t>
      </w:r>
      <w:r>
        <w:rPr>
          <w:rFonts w:ascii="Times New Roman" w:eastAsia="Times New Roman" w:hAnsi="Times New Roman" w:cs="Times New Roman"/>
          <w:sz w:val="20"/>
          <w:szCs w:val="20"/>
        </w:rPr>
        <w:t>. J. Currey Heinemann Kenya [etc.].</w:t>
      </w:r>
    </w:p>
    <w:p w14:paraId="3B98CF16" w14:textId="77777777" w:rsidR="003934E1" w:rsidRDefault="00000000">
      <w:pPr>
        <w:numPr>
          <w:ilvl w:val="0"/>
          <w:numId w:val="4"/>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Nath, S., &amp; Kumari, R. (2019). Remembering </w:t>
      </w:r>
      <w:proofErr w:type="spellStart"/>
      <w:r>
        <w:rPr>
          <w:rFonts w:ascii="Times New Roman" w:eastAsia="Times New Roman" w:hAnsi="Times New Roman" w:cs="Times New Roman"/>
          <w:sz w:val="20"/>
          <w:szCs w:val="20"/>
        </w:rPr>
        <w:t>Poto</w:t>
      </w:r>
      <w:proofErr w:type="spellEnd"/>
      <w:r>
        <w:rPr>
          <w:rFonts w:ascii="Times New Roman" w:eastAsia="Times New Roman" w:hAnsi="Times New Roman" w:cs="Times New Roman"/>
          <w:sz w:val="20"/>
          <w:szCs w:val="20"/>
        </w:rPr>
        <w:t xml:space="preserve"> Ho: The Leader of Adivasi Anti-British Resistance in </w:t>
      </w:r>
      <w:proofErr w:type="spellStart"/>
      <w:r>
        <w:rPr>
          <w:rFonts w:ascii="Times New Roman" w:eastAsia="Times New Roman" w:hAnsi="Times New Roman" w:cs="Times New Roman"/>
          <w:sz w:val="20"/>
          <w:szCs w:val="20"/>
        </w:rPr>
        <w:t>Kolhan</w:t>
      </w:r>
      <w:proofErr w:type="spellEnd"/>
      <w:r>
        <w:rPr>
          <w:rFonts w:ascii="Times New Roman" w:eastAsia="Times New Roman" w:hAnsi="Times New Roman" w:cs="Times New Roman"/>
          <w:sz w:val="20"/>
          <w:szCs w:val="20"/>
        </w:rPr>
        <w:t xml:space="preserve"> (1836-37). Journal of Adivasi and Indigenous Studies, IX(No. 1), 1–25.</w:t>
      </w:r>
    </w:p>
    <w:p w14:paraId="704D50E3" w14:textId="77777777" w:rsidR="003934E1" w:rsidRDefault="00000000">
      <w:pPr>
        <w:numPr>
          <w:ilvl w:val="0"/>
          <w:numId w:val="4"/>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Quijano, A., &amp; Ennis, M. (2000). Coloniality of Power, Eurocentrism, and Latin America. </w:t>
      </w:r>
    </w:p>
    <w:p w14:paraId="612502C2" w14:textId="77777777" w:rsidR="003934E1" w:rsidRDefault="00000000">
      <w:pPr>
        <w:numPr>
          <w:ilvl w:val="0"/>
          <w:numId w:val="4"/>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Sahu, M. (1985). The </w:t>
      </w:r>
      <w:proofErr w:type="spellStart"/>
      <w:r>
        <w:rPr>
          <w:rFonts w:ascii="Times New Roman" w:eastAsia="Times New Roman" w:hAnsi="Times New Roman" w:cs="Times New Roman"/>
          <w:sz w:val="20"/>
          <w:szCs w:val="20"/>
        </w:rPr>
        <w:t>Kolhan</w:t>
      </w:r>
      <w:proofErr w:type="spellEnd"/>
      <w:r>
        <w:rPr>
          <w:rFonts w:ascii="Times New Roman" w:eastAsia="Times New Roman" w:hAnsi="Times New Roman" w:cs="Times New Roman"/>
          <w:sz w:val="20"/>
          <w:szCs w:val="20"/>
        </w:rPr>
        <w:t xml:space="preserve"> under the British Rule. Calcutta (no publisher).</w:t>
      </w:r>
    </w:p>
    <w:p w14:paraId="63E7B4B3" w14:textId="77777777" w:rsidR="003934E1" w:rsidRDefault="00000000">
      <w:pPr>
        <w:numPr>
          <w:ilvl w:val="0"/>
          <w:numId w:val="4"/>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Sen, S. K. (2008) </w:t>
      </w:r>
      <w:r>
        <w:rPr>
          <w:rFonts w:ascii="Times New Roman" w:eastAsia="Times New Roman" w:hAnsi="Times New Roman" w:cs="Times New Roman"/>
          <w:i/>
          <w:sz w:val="20"/>
          <w:szCs w:val="20"/>
        </w:rPr>
        <w:t xml:space="preserve">Tribal struggle for freedom: </w:t>
      </w:r>
      <w:proofErr w:type="spellStart"/>
      <w:r>
        <w:rPr>
          <w:rFonts w:ascii="Times New Roman" w:eastAsia="Times New Roman" w:hAnsi="Times New Roman" w:cs="Times New Roman"/>
          <w:i/>
          <w:sz w:val="20"/>
          <w:szCs w:val="20"/>
        </w:rPr>
        <w:t>Singhbhum</w:t>
      </w:r>
      <w:proofErr w:type="spellEnd"/>
      <w:r>
        <w:rPr>
          <w:rFonts w:ascii="Times New Roman" w:eastAsia="Times New Roman" w:hAnsi="Times New Roman" w:cs="Times New Roman"/>
          <w:i/>
          <w:sz w:val="20"/>
          <w:szCs w:val="20"/>
        </w:rPr>
        <w:t xml:space="preserve"> 1820-1858</w:t>
      </w:r>
      <w:r>
        <w:rPr>
          <w:rFonts w:ascii="Times New Roman" w:eastAsia="Times New Roman" w:hAnsi="Times New Roman" w:cs="Times New Roman"/>
          <w:sz w:val="20"/>
          <w:szCs w:val="20"/>
        </w:rPr>
        <w:t>. Concept Pub. Co.</w:t>
      </w:r>
    </w:p>
    <w:p w14:paraId="4B0C2A44" w14:textId="77777777" w:rsidR="003934E1" w:rsidRDefault="00000000">
      <w:pPr>
        <w:numPr>
          <w:ilvl w:val="0"/>
          <w:numId w:val="4"/>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Sen, A.K. (2014) ‘Assertion of Political Identity: the Ho Adivasis of </w:t>
      </w:r>
      <w:proofErr w:type="spellStart"/>
      <w:r>
        <w:rPr>
          <w:rFonts w:ascii="Times New Roman" w:eastAsia="Times New Roman" w:hAnsi="Times New Roman" w:cs="Times New Roman"/>
          <w:sz w:val="20"/>
          <w:szCs w:val="20"/>
        </w:rPr>
        <w:t>Singhbhum</w:t>
      </w:r>
      <w:proofErr w:type="spellEnd"/>
      <w:r>
        <w:rPr>
          <w:rFonts w:ascii="Times New Roman" w:eastAsia="Times New Roman" w:hAnsi="Times New Roman" w:cs="Times New Roman"/>
          <w:sz w:val="20"/>
          <w:szCs w:val="20"/>
        </w:rPr>
        <w:t xml:space="preserve"> 1770-1859’,</w:t>
      </w:r>
    </w:p>
    <w:p w14:paraId="2CBE5A7B" w14:textId="77777777" w:rsidR="003934E1" w:rsidRDefault="00000000">
      <w:pPr>
        <w:spacing w:line="48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Journal of Adivasi and Indigenous Studies, 1(1): 18-31</w:t>
      </w:r>
    </w:p>
    <w:p w14:paraId="1DA1EA1E" w14:textId="77777777" w:rsidR="003934E1" w:rsidRDefault="00000000">
      <w:pPr>
        <w:numPr>
          <w:ilvl w:val="0"/>
          <w:numId w:val="3"/>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Singh, R. (2023). First Tribal Court in Jharkhand Fast-tracks Justice Delivery. News Click. Online Edition.</w:t>
      </w:r>
    </w:p>
    <w:p w14:paraId="679F34AC" w14:textId="77777777" w:rsidR="003934E1" w:rsidRDefault="00000000">
      <w:pPr>
        <w:spacing w:line="48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&lt;</w:t>
      </w:r>
      <w:hyperlink r:id="rId34">
        <w:r w:rsidR="003934E1">
          <w:rPr>
            <w:rFonts w:ascii="Times New Roman" w:eastAsia="Times New Roman" w:hAnsi="Times New Roman" w:cs="Times New Roman"/>
            <w:color w:val="1155CC"/>
            <w:sz w:val="20"/>
            <w:szCs w:val="20"/>
            <w:u w:val="single"/>
          </w:rPr>
          <w:t>https://www.newsclick.in/first-tribal-court-jharkhand-fast-tracks-justice-delivery</w:t>
        </w:r>
      </w:hyperlink>
      <w:r>
        <w:rPr>
          <w:rFonts w:ascii="Times New Roman" w:eastAsia="Times New Roman" w:hAnsi="Times New Roman" w:cs="Times New Roman"/>
          <w:sz w:val="20"/>
          <w:szCs w:val="20"/>
        </w:rPr>
        <w:t>&gt; accessed on July 4 2025.</w:t>
      </w:r>
    </w:p>
    <w:p w14:paraId="61B49807" w14:textId="77777777" w:rsidR="003934E1" w:rsidRDefault="00000000">
      <w:pPr>
        <w:numPr>
          <w:ilvl w:val="0"/>
          <w:numId w:val="4"/>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Sinha, C. (2022). </w:t>
      </w:r>
      <w:r>
        <w:rPr>
          <w:rFonts w:ascii="Times New Roman" w:eastAsia="Times New Roman" w:hAnsi="Times New Roman" w:cs="Times New Roman"/>
          <w:i/>
          <w:sz w:val="20"/>
          <w:szCs w:val="20"/>
        </w:rPr>
        <w:t>Estate</w:t>
      </w:r>
      <w:r>
        <w:rPr>
          <w:rFonts w:ascii="Times New Roman" w:eastAsia="Times New Roman" w:hAnsi="Times New Roman" w:cs="Times New Roman"/>
          <w:sz w:val="20"/>
          <w:szCs w:val="20"/>
        </w:rPr>
        <w:t>. Fifty Two (52).Online Edition &lt;</w:t>
      </w:r>
      <w:hyperlink r:id="rId35">
        <w:r w:rsidR="003934E1">
          <w:rPr>
            <w:rFonts w:ascii="Times New Roman" w:eastAsia="Times New Roman" w:hAnsi="Times New Roman" w:cs="Times New Roman"/>
            <w:color w:val="1155CC"/>
            <w:sz w:val="20"/>
            <w:szCs w:val="20"/>
            <w:u w:val="single"/>
          </w:rPr>
          <w:t>https://fiftytwo.in/story/estate/</w:t>
        </w:r>
      </w:hyperlink>
      <w:r>
        <w:rPr>
          <w:rFonts w:ascii="Times New Roman" w:eastAsia="Times New Roman" w:hAnsi="Times New Roman" w:cs="Times New Roman"/>
          <w:color w:val="1155CC"/>
          <w:sz w:val="20"/>
          <w:szCs w:val="20"/>
          <w:u w:val="single"/>
        </w:rPr>
        <w:t>&gt;</w:t>
      </w:r>
      <w:r>
        <w:rPr>
          <w:rFonts w:ascii="Times New Roman" w:eastAsia="Times New Roman" w:hAnsi="Times New Roman" w:cs="Times New Roman"/>
          <w:color w:val="1155CC"/>
          <w:sz w:val="20"/>
          <w:szCs w:val="20"/>
        </w:rPr>
        <w:t xml:space="preserve"> </w:t>
      </w:r>
      <w:r>
        <w:rPr>
          <w:rFonts w:ascii="Times New Roman" w:eastAsia="Times New Roman" w:hAnsi="Times New Roman" w:cs="Times New Roman"/>
          <w:sz w:val="20"/>
          <w:szCs w:val="20"/>
        </w:rPr>
        <w:t>accessed on July 4, 2025.</w:t>
      </w:r>
    </w:p>
    <w:p w14:paraId="683933CF" w14:textId="77777777" w:rsidR="003934E1" w:rsidRDefault="00000000">
      <w:pPr>
        <w:numPr>
          <w:ilvl w:val="0"/>
          <w:numId w:val="4"/>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Smith, L. T. (1999). Decolonizing methodologies: Research and indigenous peoples. Zed Books; University of Otago Press.</w:t>
      </w:r>
    </w:p>
    <w:p w14:paraId="75858249" w14:textId="77777777" w:rsidR="003934E1" w:rsidRDefault="00000000">
      <w:pPr>
        <w:numPr>
          <w:ilvl w:val="0"/>
          <w:numId w:val="4"/>
        </w:numPr>
        <w:spacing w:line="48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Streumer</w:t>
      </w:r>
      <w:proofErr w:type="spellEnd"/>
      <w:r>
        <w:rPr>
          <w:rFonts w:ascii="Times New Roman" w:eastAsia="Times New Roman" w:hAnsi="Times New Roman" w:cs="Times New Roman"/>
          <w:sz w:val="20"/>
          <w:szCs w:val="20"/>
        </w:rPr>
        <w:t xml:space="preserve">, P. (2021). </w:t>
      </w:r>
      <w:proofErr w:type="spellStart"/>
      <w:r>
        <w:rPr>
          <w:rFonts w:ascii="Times New Roman" w:eastAsia="Times New Roman" w:hAnsi="Times New Roman" w:cs="Times New Roman"/>
          <w:sz w:val="20"/>
          <w:szCs w:val="20"/>
        </w:rPr>
        <w:t>Poto</w:t>
      </w:r>
      <w:proofErr w:type="spellEnd"/>
      <w:r>
        <w:rPr>
          <w:rFonts w:ascii="Times New Roman" w:eastAsia="Times New Roman" w:hAnsi="Times New Roman" w:cs="Times New Roman"/>
          <w:sz w:val="20"/>
          <w:szCs w:val="20"/>
        </w:rPr>
        <w:t xml:space="preserve"> Ho and the Battle of </w:t>
      </w:r>
      <w:proofErr w:type="spellStart"/>
      <w:r>
        <w:rPr>
          <w:rFonts w:ascii="Times New Roman" w:eastAsia="Times New Roman" w:hAnsi="Times New Roman" w:cs="Times New Roman"/>
          <w:sz w:val="20"/>
          <w:szCs w:val="20"/>
        </w:rPr>
        <w:t>Seringsia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Wakkman</w:t>
      </w:r>
      <w:proofErr w:type="spellEnd"/>
      <w:r>
        <w:rPr>
          <w:rFonts w:ascii="Times New Roman" w:eastAsia="Times New Roman" w:hAnsi="Times New Roman" w:cs="Times New Roman"/>
          <w:sz w:val="20"/>
          <w:szCs w:val="20"/>
        </w:rPr>
        <w:t>. Online Edition</w:t>
      </w:r>
    </w:p>
    <w:p w14:paraId="1DE40E8D" w14:textId="77777777" w:rsidR="003934E1" w:rsidRDefault="00000000">
      <w:pPr>
        <w:spacing w:line="480"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&lt;</w:t>
      </w:r>
      <w:hyperlink r:id="rId36" w:anchor=":~:text=The%20battle%20of%20Seringsia%20took%20place%20on,political%20background%20of%20the%20Battle%20of%20Seringsia">
        <w:r w:rsidR="003934E1">
          <w:rPr>
            <w:rFonts w:ascii="Times New Roman" w:eastAsia="Times New Roman" w:hAnsi="Times New Roman" w:cs="Times New Roman"/>
            <w:color w:val="1155CC"/>
            <w:sz w:val="20"/>
            <w:szCs w:val="20"/>
            <w:u w:val="single"/>
          </w:rPr>
          <w:t>https://wakkaman.com/snippets-of-ho-history/poto-ho-and-the-battle-of-seringsia-in-ho/#:~:text=The%20battle%20of%20Seringsia%20took%20place%20on,political%20background%20of%20the%20Battle%20of%20Seringsia</w:t>
        </w:r>
      </w:hyperlink>
      <w:r>
        <w:rPr>
          <w:rFonts w:ascii="Times New Roman" w:eastAsia="Times New Roman" w:hAnsi="Times New Roman" w:cs="Times New Roman"/>
          <w:sz w:val="20"/>
          <w:szCs w:val="20"/>
        </w:rPr>
        <w:t>&gt; accessed on July 4 2025.</w:t>
      </w:r>
    </w:p>
    <w:p w14:paraId="510EFD94" w14:textId="77777777" w:rsidR="003934E1" w:rsidRDefault="003934E1">
      <w:pPr>
        <w:spacing w:line="480" w:lineRule="auto"/>
        <w:ind w:left="720"/>
        <w:rPr>
          <w:rFonts w:ascii="Times New Roman" w:eastAsia="Times New Roman" w:hAnsi="Times New Roman" w:cs="Times New Roman"/>
          <w:sz w:val="20"/>
          <w:szCs w:val="20"/>
        </w:rPr>
      </w:pPr>
    </w:p>
    <w:p w14:paraId="4723061C" w14:textId="77777777" w:rsidR="003934E1" w:rsidRDefault="00000000">
      <w:pPr>
        <w:numPr>
          <w:ilvl w:val="0"/>
          <w:numId w:val="4"/>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Tripura, B. (2023). Decolonizing ethnography and Tribes in India: Toward an alternative methodology. </w:t>
      </w:r>
      <w:r>
        <w:rPr>
          <w:rFonts w:ascii="Times New Roman" w:eastAsia="Times New Roman" w:hAnsi="Times New Roman" w:cs="Times New Roman"/>
          <w:i/>
          <w:sz w:val="20"/>
          <w:szCs w:val="20"/>
        </w:rPr>
        <w:t>Frontiers in Political Science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5</w:t>
      </w:r>
      <w:r>
        <w:rPr>
          <w:rFonts w:ascii="Times New Roman" w:eastAsia="Times New Roman" w:hAnsi="Times New Roman" w:cs="Times New Roman"/>
          <w:sz w:val="20"/>
          <w:szCs w:val="20"/>
        </w:rPr>
        <w:t>.</w:t>
      </w:r>
      <w:hyperlink r:id="rId37">
        <w:r w:rsidR="003934E1">
          <w:rPr>
            <w:rFonts w:ascii="Times New Roman" w:eastAsia="Times New Roman" w:hAnsi="Times New Roman" w:cs="Times New Roman"/>
            <w:sz w:val="20"/>
            <w:szCs w:val="20"/>
          </w:rPr>
          <w:t xml:space="preserve"> </w:t>
        </w:r>
      </w:hyperlink>
      <w:hyperlink r:id="rId38">
        <w:r w:rsidR="003934E1">
          <w:rPr>
            <w:rFonts w:ascii="Times New Roman" w:eastAsia="Times New Roman" w:hAnsi="Times New Roman" w:cs="Times New Roman"/>
            <w:color w:val="1155CC"/>
            <w:sz w:val="20"/>
            <w:szCs w:val="20"/>
            <w:u w:val="single"/>
          </w:rPr>
          <w:t>https://doi.org/10.3389/fpos.2023.1047276</w:t>
        </w:r>
      </w:hyperlink>
    </w:p>
    <w:p w14:paraId="25AE36DE" w14:textId="77777777" w:rsidR="003934E1" w:rsidRDefault="003934E1">
      <w:pPr>
        <w:spacing w:line="276" w:lineRule="auto"/>
        <w:ind w:left="720"/>
        <w:rPr>
          <w:rFonts w:ascii="Times New Roman" w:eastAsia="Times New Roman" w:hAnsi="Times New Roman" w:cs="Times New Roman"/>
          <w:sz w:val="20"/>
          <w:szCs w:val="20"/>
        </w:rPr>
      </w:pPr>
    </w:p>
    <w:p w14:paraId="277B9C32" w14:textId="77777777" w:rsidR="003934E1" w:rsidRDefault="00000000">
      <w:pPr>
        <w:numPr>
          <w:ilvl w:val="0"/>
          <w:numId w:val="4"/>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Wilson, S. (2008). </w:t>
      </w:r>
      <w:r>
        <w:rPr>
          <w:rFonts w:ascii="Times New Roman" w:eastAsia="Times New Roman" w:hAnsi="Times New Roman" w:cs="Times New Roman"/>
          <w:i/>
          <w:sz w:val="20"/>
          <w:szCs w:val="20"/>
        </w:rPr>
        <w:t>Research is ceremony: Indigenous research methods</w:t>
      </w:r>
      <w:r>
        <w:rPr>
          <w:rFonts w:ascii="Times New Roman" w:eastAsia="Times New Roman" w:hAnsi="Times New Roman" w:cs="Times New Roman"/>
          <w:sz w:val="20"/>
          <w:szCs w:val="20"/>
        </w:rPr>
        <w:t>. Fernwood Pub.</w:t>
      </w:r>
    </w:p>
    <w:p w14:paraId="4C23F0D2" w14:textId="77777777" w:rsidR="003934E1" w:rsidRDefault="00000000">
      <w:pPr>
        <w:numPr>
          <w:ilvl w:val="0"/>
          <w:numId w:val="4"/>
        </w:numPr>
        <w:spacing w:line="48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Xaxa</w:t>
      </w:r>
      <w:proofErr w:type="spellEnd"/>
      <w:r>
        <w:rPr>
          <w:rFonts w:ascii="Times New Roman" w:eastAsia="Times New Roman" w:hAnsi="Times New Roman" w:cs="Times New Roman"/>
          <w:sz w:val="20"/>
          <w:szCs w:val="20"/>
        </w:rPr>
        <w:t xml:space="preserve">, V. (2014). </w:t>
      </w:r>
      <w:r>
        <w:rPr>
          <w:rFonts w:ascii="Times New Roman" w:eastAsia="Times New Roman" w:hAnsi="Times New Roman" w:cs="Times New Roman"/>
          <w:i/>
          <w:sz w:val="20"/>
          <w:szCs w:val="20"/>
        </w:rPr>
        <w:t>State, society, and tribes: Issues in post-colonial India</w:t>
      </w:r>
      <w:r>
        <w:rPr>
          <w:rFonts w:ascii="Times New Roman" w:eastAsia="Times New Roman" w:hAnsi="Times New Roman" w:cs="Times New Roman"/>
          <w:sz w:val="20"/>
          <w:szCs w:val="20"/>
        </w:rPr>
        <w:t>. Pearson India.</w:t>
      </w:r>
    </w:p>
    <w:p w14:paraId="19DA8D25" w14:textId="77777777" w:rsidR="003934E1" w:rsidRDefault="003934E1">
      <w:pPr>
        <w:spacing w:line="276" w:lineRule="auto"/>
        <w:rPr>
          <w:rFonts w:ascii="Times New Roman" w:eastAsia="Times New Roman" w:hAnsi="Times New Roman" w:cs="Times New Roman"/>
          <w:b/>
          <w:sz w:val="20"/>
          <w:szCs w:val="20"/>
          <w:u w:val="single"/>
        </w:rPr>
      </w:pPr>
    </w:p>
    <w:p w14:paraId="70658AA6" w14:textId="77777777" w:rsidR="003934E1" w:rsidRDefault="003934E1">
      <w:pPr>
        <w:spacing w:line="276" w:lineRule="auto"/>
        <w:rPr>
          <w:rFonts w:ascii="Times New Roman" w:eastAsia="Times New Roman" w:hAnsi="Times New Roman" w:cs="Times New Roman"/>
          <w:b/>
          <w:sz w:val="20"/>
          <w:szCs w:val="20"/>
          <w:u w:val="single"/>
        </w:rPr>
      </w:pPr>
    </w:p>
    <w:p w14:paraId="0284E3B7" w14:textId="77777777" w:rsidR="003934E1" w:rsidRDefault="00000000">
      <w:pPr>
        <w:spacing w:line="276"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News</w:t>
      </w:r>
    </w:p>
    <w:p w14:paraId="3F209C0D" w14:textId="77777777" w:rsidR="003934E1" w:rsidRDefault="003934E1">
      <w:pPr>
        <w:spacing w:line="276" w:lineRule="auto"/>
        <w:rPr>
          <w:rFonts w:ascii="Times New Roman" w:eastAsia="Times New Roman" w:hAnsi="Times New Roman" w:cs="Times New Roman"/>
          <w:b/>
          <w:sz w:val="20"/>
          <w:szCs w:val="20"/>
          <w:u w:val="single"/>
        </w:rPr>
      </w:pPr>
    </w:p>
    <w:p w14:paraId="610F7DE2" w14:textId="77777777" w:rsidR="003934E1" w:rsidRDefault="00000000">
      <w:pPr>
        <w:numPr>
          <w:ilvl w:val="0"/>
          <w:numId w:val="4"/>
        </w:numPr>
        <w:spacing w:line="480" w:lineRule="auto"/>
        <w:rPr>
          <w:rFonts w:ascii="Times New Roman" w:eastAsia="Times New Roman" w:hAnsi="Times New Roman" w:cs="Times New Roman"/>
          <w:sz w:val="20"/>
          <w:szCs w:val="20"/>
        </w:rPr>
      </w:pPr>
      <w:r>
        <w:rPr>
          <w:rFonts w:ascii="Baloo" w:eastAsia="Baloo" w:hAnsi="Baloo" w:cs="Baloo"/>
          <w:sz w:val="20"/>
          <w:szCs w:val="20"/>
        </w:rPr>
        <w:t xml:space="preserve">Bhaskar News (1821 ). </w:t>
      </w:r>
      <w:proofErr w:type="spellStart"/>
      <w:r>
        <w:rPr>
          <w:rFonts w:ascii="Baloo" w:eastAsia="Baloo" w:hAnsi="Baloo" w:cs="Baloo"/>
          <w:sz w:val="20"/>
          <w:szCs w:val="20"/>
        </w:rPr>
        <w:t>सेरेंगसिया</w:t>
      </w:r>
      <w:proofErr w:type="spellEnd"/>
      <w:r>
        <w:rPr>
          <w:rFonts w:ascii="Baloo" w:eastAsia="Baloo" w:hAnsi="Baloo" w:cs="Baloo"/>
          <w:sz w:val="20"/>
          <w:szCs w:val="20"/>
        </w:rPr>
        <w:t xml:space="preserve"> </w:t>
      </w:r>
      <w:proofErr w:type="spellStart"/>
      <w:r>
        <w:rPr>
          <w:rFonts w:ascii="Baloo" w:eastAsia="Baloo" w:hAnsi="Baloo" w:cs="Baloo"/>
          <w:sz w:val="20"/>
          <w:szCs w:val="20"/>
        </w:rPr>
        <w:t>घाटी</w:t>
      </w:r>
      <w:proofErr w:type="spellEnd"/>
      <w:r>
        <w:rPr>
          <w:rFonts w:ascii="Baloo" w:eastAsia="Baloo" w:hAnsi="Baloo" w:cs="Baloo"/>
          <w:sz w:val="20"/>
          <w:szCs w:val="20"/>
        </w:rPr>
        <w:t xml:space="preserve"> </w:t>
      </w:r>
      <w:proofErr w:type="spellStart"/>
      <w:r>
        <w:rPr>
          <w:rFonts w:ascii="Baloo" w:eastAsia="Baloo" w:hAnsi="Baloo" w:cs="Baloo"/>
          <w:sz w:val="20"/>
          <w:szCs w:val="20"/>
        </w:rPr>
        <w:t>युद्ध</w:t>
      </w:r>
      <w:proofErr w:type="spellEnd"/>
      <w:r>
        <w:rPr>
          <w:rFonts w:ascii="Baloo" w:eastAsia="Baloo" w:hAnsi="Baloo" w:cs="Baloo"/>
          <w:sz w:val="20"/>
          <w:szCs w:val="20"/>
        </w:rPr>
        <w:t xml:space="preserve"> </w:t>
      </w:r>
      <w:proofErr w:type="spellStart"/>
      <w:r>
        <w:rPr>
          <w:rFonts w:ascii="Baloo" w:eastAsia="Baloo" w:hAnsi="Baloo" w:cs="Baloo"/>
          <w:sz w:val="20"/>
          <w:szCs w:val="20"/>
        </w:rPr>
        <w:t>के</w:t>
      </w:r>
      <w:proofErr w:type="spellEnd"/>
      <w:r>
        <w:rPr>
          <w:rFonts w:ascii="Baloo" w:eastAsia="Baloo" w:hAnsi="Baloo" w:cs="Baloo"/>
          <w:sz w:val="20"/>
          <w:szCs w:val="20"/>
        </w:rPr>
        <w:t xml:space="preserve"> </w:t>
      </w:r>
      <w:proofErr w:type="spellStart"/>
      <w:r>
        <w:rPr>
          <w:rFonts w:ascii="Baloo" w:eastAsia="Baloo" w:hAnsi="Baloo" w:cs="Baloo"/>
          <w:sz w:val="20"/>
          <w:szCs w:val="20"/>
        </w:rPr>
        <w:t>नायक</w:t>
      </w:r>
      <w:proofErr w:type="spellEnd"/>
      <w:r>
        <w:rPr>
          <w:rFonts w:ascii="Baloo" w:eastAsia="Baloo" w:hAnsi="Baloo" w:cs="Baloo"/>
          <w:sz w:val="20"/>
          <w:szCs w:val="20"/>
        </w:rPr>
        <w:t xml:space="preserve"> </w:t>
      </w:r>
      <w:proofErr w:type="spellStart"/>
      <w:r>
        <w:rPr>
          <w:rFonts w:ascii="Baloo" w:eastAsia="Baloo" w:hAnsi="Baloo" w:cs="Baloo"/>
          <w:sz w:val="20"/>
          <w:szCs w:val="20"/>
        </w:rPr>
        <w:t>थे</w:t>
      </w:r>
      <w:proofErr w:type="spellEnd"/>
      <w:r>
        <w:rPr>
          <w:rFonts w:ascii="Baloo" w:eastAsia="Baloo" w:hAnsi="Baloo" w:cs="Baloo"/>
          <w:sz w:val="20"/>
          <w:szCs w:val="20"/>
        </w:rPr>
        <w:t xml:space="preserve"> </w:t>
      </w:r>
      <w:proofErr w:type="spellStart"/>
      <w:r>
        <w:rPr>
          <w:rFonts w:ascii="Baloo" w:eastAsia="Baloo" w:hAnsi="Baloo" w:cs="Baloo"/>
          <w:sz w:val="20"/>
          <w:szCs w:val="20"/>
        </w:rPr>
        <w:t>राजबासा</w:t>
      </w:r>
      <w:proofErr w:type="spellEnd"/>
      <w:r>
        <w:rPr>
          <w:rFonts w:ascii="Baloo" w:eastAsia="Baloo" w:hAnsi="Baloo" w:cs="Baloo"/>
          <w:sz w:val="20"/>
          <w:szCs w:val="20"/>
        </w:rPr>
        <w:t xml:space="preserve"> </w:t>
      </w:r>
      <w:proofErr w:type="spellStart"/>
      <w:r>
        <w:rPr>
          <w:rFonts w:ascii="Baloo" w:eastAsia="Baloo" w:hAnsi="Baloo" w:cs="Baloo"/>
          <w:sz w:val="20"/>
          <w:szCs w:val="20"/>
        </w:rPr>
        <w:t>में</w:t>
      </w:r>
      <w:proofErr w:type="spellEnd"/>
      <w:r>
        <w:rPr>
          <w:rFonts w:ascii="Baloo" w:eastAsia="Baloo" w:hAnsi="Baloo" w:cs="Baloo"/>
          <w:sz w:val="20"/>
          <w:szCs w:val="20"/>
        </w:rPr>
        <w:t xml:space="preserve"> </w:t>
      </w:r>
      <w:proofErr w:type="spellStart"/>
      <w:r>
        <w:rPr>
          <w:rFonts w:ascii="Baloo" w:eastAsia="Baloo" w:hAnsi="Baloo" w:cs="Baloo"/>
          <w:sz w:val="20"/>
          <w:szCs w:val="20"/>
        </w:rPr>
        <w:t>जन्मे</w:t>
      </w:r>
      <w:proofErr w:type="spellEnd"/>
      <w:r>
        <w:rPr>
          <w:rFonts w:ascii="Baloo" w:eastAsia="Baloo" w:hAnsi="Baloo" w:cs="Baloo"/>
          <w:sz w:val="20"/>
          <w:szCs w:val="20"/>
        </w:rPr>
        <w:t xml:space="preserve"> </w:t>
      </w:r>
      <w:proofErr w:type="spellStart"/>
      <w:r>
        <w:rPr>
          <w:rFonts w:ascii="Baloo" w:eastAsia="Baloo" w:hAnsi="Baloo" w:cs="Baloo"/>
          <w:sz w:val="20"/>
          <w:szCs w:val="20"/>
        </w:rPr>
        <w:t>पोटो</w:t>
      </w:r>
      <w:proofErr w:type="spellEnd"/>
      <w:r>
        <w:rPr>
          <w:rFonts w:ascii="Baloo" w:eastAsia="Baloo" w:hAnsi="Baloo" w:cs="Baloo"/>
          <w:sz w:val="20"/>
          <w:szCs w:val="20"/>
        </w:rPr>
        <w:t xml:space="preserve"> </w:t>
      </w:r>
      <w:proofErr w:type="spellStart"/>
      <w:r>
        <w:rPr>
          <w:rFonts w:ascii="Baloo" w:eastAsia="Baloo" w:hAnsi="Baloo" w:cs="Baloo"/>
          <w:sz w:val="20"/>
          <w:szCs w:val="20"/>
        </w:rPr>
        <w:t>हो</w:t>
      </w:r>
      <w:proofErr w:type="spellEnd"/>
      <w:r>
        <w:rPr>
          <w:rFonts w:ascii="Baloo" w:eastAsia="Baloo" w:hAnsi="Baloo" w:cs="Baloo"/>
          <w:sz w:val="20"/>
          <w:szCs w:val="20"/>
        </w:rPr>
        <w:t xml:space="preserve">, 1837 </w:t>
      </w:r>
      <w:proofErr w:type="spellStart"/>
      <w:r>
        <w:rPr>
          <w:rFonts w:ascii="Baloo" w:eastAsia="Baloo" w:hAnsi="Baloo" w:cs="Baloo"/>
          <w:sz w:val="20"/>
          <w:szCs w:val="20"/>
        </w:rPr>
        <w:t>में</w:t>
      </w:r>
      <w:proofErr w:type="spellEnd"/>
      <w:r>
        <w:rPr>
          <w:rFonts w:ascii="Baloo" w:eastAsia="Baloo" w:hAnsi="Baloo" w:cs="Baloo"/>
          <w:sz w:val="20"/>
          <w:szCs w:val="20"/>
        </w:rPr>
        <w:t xml:space="preserve"> </w:t>
      </w:r>
      <w:proofErr w:type="spellStart"/>
      <w:r>
        <w:rPr>
          <w:rFonts w:ascii="Baloo" w:eastAsia="Baloo" w:hAnsi="Baloo" w:cs="Baloo"/>
          <w:sz w:val="20"/>
          <w:szCs w:val="20"/>
        </w:rPr>
        <w:t>अंग्रेजी</w:t>
      </w:r>
      <w:proofErr w:type="spellEnd"/>
      <w:r>
        <w:rPr>
          <w:rFonts w:ascii="Baloo" w:eastAsia="Baloo" w:hAnsi="Baloo" w:cs="Baloo"/>
          <w:sz w:val="20"/>
          <w:szCs w:val="20"/>
        </w:rPr>
        <w:t xml:space="preserve"> </w:t>
      </w:r>
      <w:proofErr w:type="spellStart"/>
      <w:r>
        <w:rPr>
          <w:rFonts w:ascii="Baloo" w:eastAsia="Baloo" w:hAnsi="Baloo" w:cs="Baloo"/>
          <w:sz w:val="20"/>
          <w:szCs w:val="20"/>
        </w:rPr>
        <w:t>फौज</w:t>
      </w:r>
      <w:proofErr w:type="spellEnd"/>
      <w:r>
        <w:rPr>
          <w:rFonts w:ascii="Baloo" w:eastAsia="Baloo" w:hAnsi="Baloo" w:cs="Baloo"/>
          <w:sz w:val="20"/>
          <w:szCs w:val="20"/>
        </w:rPr>
        <w:t xml:space="preserve"> </w:t>
      </w:r>
      <w:proofErr w:type="spellStart"/>
      <w:r>
        <w:rPr>
          <w:rFonts w:ascii="Baloo" w:eastAsia="Baloo" w:hAnsi="Baloo" w:cs="Baloo"/>
          <w:sz w:val="20"/>
          <w:szCs w:val="20"/>
        </w:rPr>
        <w:t>को</w:t>
      </w:r>
      <w:proofErr w:type="spellEnd"/>
      <w:r>
        <w:rPr>
          <w:rFonts w:ascii="Baloo" w:eastAsia="Baloo" w:hAnsi="Baloo" w:cs="Baloo"/>
          <w:sz w:val="20"/>
          <w:szCs w:val="20"/>
        </w:rPr>
        <w:t xml:space="preserve"> </w:t>
      </w:r>
      <w:proofErr w:type="spellStart"/>
      <w:r>
        <w:rPr>
          <w:rFonts w:ascii="Baloo" w:eastAsia="Baloo" w:hAnsi="Baloo" w:cs="Baloo"/>
          <w:sz w:val="20"/>
          <w:szCs w:val="20"/>
        </w:rPr>
        <w:t>हराया</w:t>
      </w:r>
      <w:proofErr w:type="spellEnd"/>
      <w:r>
        <w:rPr>
          <w:rFonts w:ascii="Baloo" w:eastAsia="Baloo" w:hAnsi="Baloo" w:cs="Baloo"/>
          <w:sz w:val="20"/>
          <w:szCs w:val="20"/>
        </w:rPr>
        <w:t xml:space="preserve">; </w:t>
      </w:r>
      <w:proofErr w:type="spellStart"/>
      <w:r>
        <w:rPr>
          <w:rFonts w:ascii="Baloo" w:eastAsia="Baloo" w:hAnsi="Baloo" w:cs="Baloo"/>
          <w:sz w:val="20"/>
          <w:szCs w:val="20"/>
        </w:rPr>
        <w:t>अब</w:t>
      </w:r>
      <w:proofErr w:type="spellEnd"/>
      <w:r>
        <w:rPr>
          <w:rFonts w:ascii="Baloo" w:eastAsia="Baloo" w:hAnsi="Baloo" w:cs="Baloo"/>
          <w:sz w:val="20"/>
          <w:szCs w:val="20"/>
        </w:rPr>
        <w:t xml:space="preserve"> Rs. 2.38 </w:t>
      </w:r>
      <w:proofErr w:type="spellStart"/>
      <w:r>
        <w:rPr>
          <w:rFonts w:ascii="Baloo" w:eastAsia="Baloo" w:hAnsi="Baloo" w:cs="Baloo"/>
          <w:sz w:val="20"/>
          <w:szCs w:val="20"/>
        </w:rPr>
        <w:t>करोड़</w:t>
      </w:r>
      <w:proofErr w:type="spellEnd"/>
      <w:r>
        <w:rPr>
          <w:rFonts w:ascii="Baloo" w:eastAsia="Baloo" w:hAnsi="Baloo" w:cs="Baloo"/>
          <w:sz w:val="20"/>
          <w:szCs w:val="20"/>
        </w:rPr>
        <w:t xml:space="preserve"> </w:t>
      </w:r>
      <w:proofErr w:type="spellStart"/>
      <w:r>
        <w:rPr>
          <w:rFonts w:ascii="Baloo" w:eastAsia="Baloo" w:hAnsi="Baloo" w:cs="Baloo"/>
          <w:sz w:val="20"/>
          <w:szCs w:val="20"/>
        </w:rPr>
        <w:t>से</w:t>
      </w:r>
      <w:proofErr w:type="spellEnd"/>
      <w:r>
        <w:rPr>
          <w:rFonts w:ascii="Baloo" w:eastAsia="Baloo" w:hAnsi="Baloo" w:cs="Baloo"/>
          <w:sz w:val="20"/>
          <w:szCs w:val="20"/>
        </w:rPr>
        <w:t xml:space="preserve"> </w:t>
      </w:r>
      <w:proofErr w:type="spellStart"/>
      <w:r>
        <w:rPr>
          <w:rFonts w:ascii="Baloo" w:eastAsia="Baloo" w:hAnsi="Baloo" w:cs="Baloo"/>
          <w:sz w:val="20"/>
          <w:szCs w:val="20"/>
        </w:rPr>
        <w:t>गांव</w:t>
      </w:r>
      <w:proofErr w:type="spellEnd"/>
      <w:r>
        <w:rPr>
          <w:rFonts w:ascii="Baloo" w:eastAsia="Baloo" w:hAnsi="Baloo" w:cs="Baloo"/>
          <w:sz w:val="20"/>
          <w:szCs w:val="20"/>
        </w:rPr>
        <w:t xml:space="preserve"> </w:t>
      </w:r>
      <w:proofErr w:type="spellStart"/>
      <w:r>
        <w:rPr>
          <w:rFonts w:ascii="Baloo" w:eastAsia="Baloo" w:hAnsi="Baloo" w:cs="Baloo"/>
          <w:sz w:val="20"/>
          <w:szCs w:val="20"/>
        </w:rPr>
        <w:t>का</w:t>
      </w:r>
      <w:proofErr w:type="spellEnd"/>
      <w:r>
        <w:rPr>
          <w:rFonts w:ascii="Baloo" w:eastAsia="Baloo" w:hAnsi="Baloo" w:cs="Baloo"/>
          <w:sz w:val="20"/>
          <w:szCs w:val="20"/>
        </w:rPr>
        <w:t xml:space="preserve"> </w:t>
      </w:r>
      <w:proofErr w:type="spellStart"/>
      <w:r>
        <w:rPr>
          <w:rFonts w:ascii="Baloo" w:eastAsia="Baloo" w:hAnsi="Baloo" w:cs="Baloo"/>
          <w:sz w:val="20"/>
          <w:szCs w:val="20"/>
        </w:rPr>
        <w:t>होगा</w:t>
      </w:r>
      <w:proofErr w:type="spellEnd"/>
      <w:r>
        <w:rPr>
          <w:rFonts w:ascii="Baloo" w:eastAsia="Baloo" w:hAnsi="Baloo" w:cs="Baloo"/>
          <w:sz w:val="20"/>
          <w:szCs w:val="20"/>
        </w:rPr>
        <w:t xml:space="preserve"> </w:t>
      </w:r>
      <w:proofErr w:type="spellStart"/>
      <w:r>
        <w:rPr>
          <w:rFonts w:ascii="Baloo" w:eastAsia="Baloo" w:hAnsi="Baloo" w:cs="Baloo"/>
          <w:sz w:val="20"/>
          <w:szCs w:val="20"/>
        </w:rPr>
        <w:t>विकास</w:t>
      </w:r>
      <w:proofErr w:type="spellEnd"/>
      <w:r>
        <w:rPr>
          <w:rFonts w:ascii="Baloo" w:eastAsia="Baloo" w:hAnsi="Baloo" w:cs="Baloo"/>
          <w:sz w:val="20"/>
          <w:szCs w:val="20"/>
        </w:rPr>
        <w:t xml:space="preserve">. Online Edition </w:t>
      </w:r>
      <w:r>
        <w:rPr>
          <w:rFonts w:ascii="Times New Roman" w:eastAsia="Times New Roman" w:hAnsi="Times New Roman" w:cs="Times New Roman"/>
          <w:b/>
          <w:sz w:val="20"/>
          <w:szCs w:val="20"/>
          <w:u w:val="single"/>
        </w:rPr>
        <w:t>&lt;</w:t>
      </w:r>
      <w:hyperlink r:id="rId39">
        <w:r w:rsidR="003934E1">
          <w:rPr>
            <w:rFonts w:ascii="Times New Roman" w:eastAsia="Times New Roman" w:hAnsi="Times New Roman" w:cs="Times New Roman"/>
            <w:color w:val="1155CC"/>
            <w:sz w:val="20"/>
            <w:szCs w:val="20"/>
            <w:u w:val="single"/>
          </w:rPr>
          <w:t>https://www.bhaskar.com/jharkhand/chaibasa/news/born-in-the-rajbasa-born-poto-ho-defeated-the-english-army-in-1837-the-serengesia-valley-was-the-hero-of-the-war-now-rs-development-of-village-will-be-238-crores-030302-3720081.html</w:t>
        </w:r>
      </w:hyperlink>
      <w:r>
        <w:rPr>
          <w:rFonts w:ascii="Times New Roman" w:eastAsia="Times New Roman" w:hAnsi="Times New Roman" w:cs="Times New Roman"/>
          <w:sz w:val="20"/>
          <w:szCs w:val="20"/>
        </w:rPr>
        <w:t>&gt; accessed on July 4 2025.</w:t>
      </w:r>
    </w:p>
    <w:p w14:paraId="2A5D2BCF" w14:textId="77777777" w:rsidR="003934E1" w:rsidRDefault="003934E1">
      <w:pPr>
        <w:spacing w:line="480" w:lineRule="auto"/>
        <w:ind w:left="720"/>
        <w:rPr>
          <w:rFonts w:ascii="Times New Roman" w:eastAsia="Times New Roman" w:hAnsi="Times New Roman" w:cs="Times New Roman"/>
          <w:sz w:val="20"/>
          <w:szCs w:val="20"/>
        </w:rPr>
      </w:pPr>
    </w:p>
    <w:p w14:paraId="53665C78" w14:textId="77777777" w:rsidR="003934E1" w:rsidRDefault="00000000">
      <w:pPr>
        <w:numPr>
          <w:ilvl w:val="0"/>
          <w:numId w:val="4"/>
        </w:numPr>
        <w:spacing w:line="48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Bisoee</w:t>
      </w:r>
      <w:proofErr w:type="spellEnd"/>
      <w:r>
        <w:rPr>
          <w:rFonts w:ascii="Times New Roman" w:eastAsia="Times New Roman" w:hAnsi="Times New Roman" w:cs="Times New Roman"/>
          <w:sz w:val="20"/>
          <w:szCs w:val="20"/>
        </w:rPr>
        <w:t>, M. (2016). Salve for 1948 firing. The Telegraph, Online Edition,</w:t>
      </w:r>
    </w:p>
    <w:p w14:paraId="18F6513F" w14:textId="77777777" w:rsidR="003934E1" w:rsidRDefault="00000000">
      <w:pPr>
        <w:spacing w:line="480" w:lineRule="auto"/>
        <w:ind w:left="720"/>
        <w:rPr>
          <w:rFonts w:ascii="Times New Roman" w:eastAsia="Times New Roman" w:hAnsi="Times New Roman" w:cs="Times New Roman"/>
          <w:b/>
          <w:sz w:val="20"/>
          <w:szCs w:val="20"/>
          <w:u w:val="single"/>
        </w:rPr>
      </w:pPr>
      <w:r>
        <w:rPr>
          <w:rFonts w:ascii="Times New Roman" w:eastAsia="Times New Roman" w:hAnsi="Times New Roman" w:cs="Times New Roman"/>
          <w:sz w:val="20"/>
          <w:szCs w:val="20"/>
        </w:rPr>
        <w:t>&lt;</w:t>
      </w:r>
      <w:hyperlink r:id="rId40">
        <w:r w:rsidR="003934E1">
          <w:rPr>
            <w:rFonts w:ascii="Times New Roman" w:eastAsia="Times New Roman" w:hAnsi="Times New Roman" w:cs="Times New Roman"/>
            <w:color w:val="1155CC"/>
            <w:sz w:val="20"/>
            <w:szCs w:val="20"/>
            <w:u w:val="single"/>
          </w:rPr>
          <w:t>https://www.telegraphindia.com/jharkhand/salve-for-1948-firing/cid/1314093</w:t>
        </w:r>
      </w:hyperlink>
      <w:r>
        <w:rPr>
          <w:rFonts w:ascii="Times New Roman" w:eastAsia="Times New Roman" w:hAnsi="Times New Roman" w:cs="Times New Roman"/>
          <w:sz w:val="20"/>
          <w:szCs w:val="20"/>
        </w:rPr>
        <w:t>&gt; accessed on July 4, 2025.</w:t>
      </w:r>
    </w:p>
    <w:p w14:paraId="3C9795B5" w14:textId="77777777" w:rsidR="003934E1" w:rsidRDefault="00000000">
      <w:pPr>
        <w:numPr>
          <w:ilvl w:val="0"/>
          <w:numId w:val="23"/>
        </w:numPr>
        <w:spacing w:line="276" w:lineRule="auto"/>
        <w:rPr>
          <w:rFonts w:ascii="Times New Roman" w:eastAsia="Times New Roman" w:hAnsi="Times New Roman" w:cs="Times New Roman"/>
          <w:sz w:val="20"/>
          <w:szCs w:val="20"/>
        </w:rPr>
      </w:pPr>
      <w:r>
        <w:rPr>
          <w:rFonts w:ascii="Baloo" w:eastAsia="Baloo" w:hAnsi="Baloo" w:cs="Baloo"/>
          <w:sz w:val="20"/>
          <w:szCs w:val="20"/>
        </w:rPr>
        <w:t xml:space="preserve">Kumar. A. (2024). 8 </w:t>
      </w:r>
      <w:proofErr w:type="spellStart"/>
      <w:r>
        <w:rPr>
          <w:rFonts w:ascii="Baloo" w:eastAsia="Baloo" w:hAnsi="Baloo" w:cs="Baloo"/>
          <w:sz w:val="20"/>
          <w:szCs w:val="20"/>
        </w:rPr>
        <w:t>सितंबर</w:t>
      </w:r>
      <w:proofErr w:type="spellEnd"/>
      <w:r>
        <w:rPr>
          <w:rFonts w:ascii="Baloo" w:eastAsia="Baloo" w:hAnsi="Baloo" w:cs="Baloo"/>
          <w:sz w:val="20"/>
          <w:szCs w:val="20"/>
        </w:rPr>
        <w:t xml:space="preserve"> 1980 </w:t>
      </w:r>
      <w:proofErr w:type="spellStart"/>
      <w:r>
        <w:rPr>
          <w:rFonts w:ascii="Baloo" w:eastAsia="Baloo" w:hAnsi="Baloo" w:cs="Baloo"/>
          <w:sz w:val="20"/>
          <w:szCs w:val="20"/>
        </w:rPr>
        <w:t>को</w:t>
      </w:r>
      <w:proofErr w:type="spellEnd"/>
      <w:r>
        <w:rPr>
          <w:rFonts w:ascii="Baloo" w:eastAsia="Baloo" w:hAnsi="Baloo" w:cs="Baloo"/>
          <w:sz w:val="20"/>
          <w:szCs w:val="20"/>
        </w:rPr>
        <w:t xml:space="preserve"> </w:t>
      </w:r>
      <w:proofErr w:type="spellStart"/>
      <w:r>
        <w:rPr>
          <w:rFonts w:ascii="Baloo" w:eastAsia="Baloo" w:hAnsi="Baloo" w:cs="Baloo"/>
          <w:sz w:val="20"/>
          <w:szCs w:val="20"/>
        </w:rPr>
        <w:t>गुवा</w:t>
      </w:r>
      <w:proofErr w:type="spellEnd"/>
      <w:r>
        <w:rPr>
          <w:rFonts w:ascii="Baloo" w:eastAsia="Baloo" w:hAnsi="Baloo" w:cs="Baloo"/>
          <w:sz w:val="20"/>
          <w:szCs w:val="20"/>
        </w:rPr>
        <w:t xml:space="preserve"> </w:t>
      </w:r>
      <w:proofErr w:type="spellStart"/>
      <w:r>
        <w:rPr>
          <w:rFonts w:ascii="Baloo" w:eastAsia="Baloo" w:hAnsi="Baloo" w:cs="Baloo"/>
          <w:sz w:val="20"/>
          <w:szCs w:val="20"/>
        </w:rPr>
        <w:t>गोलीकांड</w:t>
      </w:r>
      <w:proofErr w:type="spellEnd"/>
      <w:r>
        <w:rPr>
          <w:rFonts w:ascii="Baloo" w:eastAsia="Baloo" w:hAnsi="Baloo" w:cs="Baloo"/>
          <w:sz w:val="20"/>
          <w:szCs w:val="20"/>
        </w:rPr>
        <w:t xml:space="preserve"> </w:t>
      </w:r>
      <w:proofErr w:type="spellStart"/>
      <w:r>
        <w:rPr>
          <w:rFonts w:ascii="Baloo" w:eastAsia="Baloo" w:hAnsi="Baloo" w:cs="Baloo"/>
          <w:sz w:val="20"/>
          <w:szCs w:val="20"/>
        </w:rPr>
        <w:t>की</w:t>
      </w:r>
      <w:proofErr w:type="spellEnd"/>
      <w:r>
        <w:rPr>
          <w:rFonts w:ascii="Baloo" w:eastAsia="Baloo" w:hAnsi="Baloo" w:cs="Baloo"/>
          <w:sz w:val="20"/>
          <w:szCs w:val="20"/>
        </w:rPr>
        <w:t xml:space="preserve"> </w:t>
      </w:r>
      <w:proofErr w:type="spellStart"/>
      <w:r>
        <w:rPr>
          <w:rFonts w:ascii="Baloo" w:eastAsia="Baloo" w:hAnsi="Baloo" w:cs="Baloo"/>
          <w:sz w:val="20"/>
          <w:szCs w:val="20"/>
        </w:rPr>
        <w:t>वो</w:t>
      </w:r>
      <w:proofErr w:type="spellEnd"/>
      <w:r>
        <w:rPr>
          <w:rFonts w:ascii="Baloo" w:eastAsia="Baloo" w:hAnsi="Baloo" w:cs="Baloo"/>
          <w:sz w:val="20"/>
          <w:szCs w:val="20"/>
        </w:rPr>
        <w:t xml:space="preserve"> </w:t>
      </w:r>
      <w:proofErr w:type="spellStart"/>
      <w:r>
        <w:rPr>
          <w:rFonts w:ascii="Baloo" w:eastAsia="Baloo" w:hAnsi="Baloo" w:cs="Baloo"/>
          <w:sz w:val="20"/>
          <w:szCs w:val="20"/>
        </w:rPr>
        <w:t>खौफनाक</w:t>
      </w:r>
      <w:proofErr w:type="spellEnd"/>
      <w:r>
        <w:rPr>
          <w:rFonts w:ascii="Baloo" w:eastAsia="Baloo" w:hAnsi="Baloo" w:cs="Baloo"/>
          <w:sz w:val="20"/>
          <w:szCs w:val="20"/>
        </w:rPr>
        <w:t xml:space="preserve"> </w:t>
      </w:r>
      <w:proofErr w:type="spellStart"/>
      <w:r>
        <w:rPr>
          <w:rFonts w:ascii="Baloo" w:eastAsia="Baloo" w:hAnsi="Baloo" w:cs="Baloo"/>
          <w:sz w:val="20"/>
          <w:szCs w:val="20"/>
        </w:rPr>
        <w:t>कहानी</w:t>
      </w:r>
      <w:proofErr w:type="spellEnd"/>
      <w:r>
        <w:rPr>
          <w:rFonts w:ascii="Baloo" w:eastAsia="Baloo" w:hAnsi="Baloo" w:cs="Baloo"/>
          <w:sz w:val="20"/>
          <w:szCs w:val="20"/>
        </w:rPr>
        <w:t xml:space="preserve">, </w:t>
      </w:r>
      <w:proofErr w:type="spellStart"/>
      <w:r>
        <w:rPr>
          <w:rFonts w:ascii="Baloo" w:eastAsia="Baloo" w:hAnsi="Baloo" w:cs="Baloo"/>
          <w:sz w:val="20"/>
          <w:szCs w:val="20"/>
        </w:rPr>
        <w:t>देश</w:t>
      </w:r>
      <w:proofErr w:type="spellEnd"/>
      <w:r>
        <w:rPr>
          <w:rFonts w:ascii="Baloo" w:eastAsia="Baloo" w:hAnsi="Baloo" w:cs="Baloo"/>
          <w:sz w:val="20"/>
          <w:szCs w:val="20"/>
        </w:rPr>
        <w:t xml:space="preserve"> </w:t>
      </w:r>
      <w:proofErr w:type="spellStart"/>
      <w:r>
        <w:rPr>
          <w:rFonts w:ascii="Baloo" w:eastAsia="Baloo" w:hAnsi="Baloo" w:cs="Baloo"/>
          <w:sz w:val="20"/>
          <w:szCs w:val="20"/>
        </w:rPr>
        <w:t>में</w:t>
      </w:r>
      <w:proofErr w:type="spellEnd"/>
      <w:r>
        <w:rPr>
          <w:rFonts w:ascii="Baloo" w:eastAsia="Baloo" w:hAnsi="Baloo" w:cs="Baloo"/>
          <w:sz w:val="20"/>
          <w:szCs w:val="20"/>
        </w:rPr>
        <w:t xml:space="preserve"> </w:t>
      </w:r>
      <w:proofErr w:type="spellStart"/>
      <w:r>
        <w:rPr>
          <w:rFonts w:ascii="Baloo" w:eastAsia="Baloo" w:hAnsi="Baloo" w:cs="Baloo"/>
          <w:sz w:val="20"/>
          <w:szCs w:val="20"/>
        </w:rPr>
        <w:t>पहली</w:t>
      </w:r>
      <w:proofErr w:type="spellEnd"/>
      <w:r>
        <w:rPr>
          <w:rFonts w:ascii="Baloo" w:eastAsia="Baloo" w:hAnsi="Baloo" w:cs="Baloo"/>
          <w:sz w:val="20"/>
          <w:szCs w:val="20"/>
        </w:rPr>
        <w:t xml:space="preserve"> </w:t>
      </w:r>
      <w:proofErr w:type="spellStart"/>
      <w:r>
        <w:rPr>
          <w:rFonts w:ascii="Baloo" w:eastAsia="Baloo" w:hAnsi="Baloo" w:cs="Baloo"/>
          <w:sz w:val="20"/>
          <w:szCs w:val="20"/>
        </w:rPr>
        <w:t>बार</w:t>
      </w:r>
      <w:proofErr w:type="spellEnd"/>
      <w:r>
        <w:rPr>
          <w:rFonts w:ascii="Baloo" w:eastAsia="Baloo" w:hAnsi="Baloo" w:cs="Baloo"/>
          <w:sz w:val="20"/>
          <w:szCs w:val="20"/>
        </w:rPr>
        <w:t xml:space="preserve"> </w:t>
      </w:r>
      <w:proofErr w:type="spellStart"/>
      <w:r>
        <w:rPr>
          <w:rFonts w:ascii="Baloo" w:eastAsia="Baloo" w:hAnsi="Baloo" w:cs="Baloo"/>
          <w:sz w:val="20"/>
          <w:szCs w:val="20"/>
        </w:rPr>
        <w:t>रेडक्रॉस</w:t>
      </w:r>
      <w:proofErr w:type="spellEnd"/>
      <w:r>
        <w:rPr>
          <w:rFonts w:ascii="Baloo" w:eastAsia="Baloo" w:hAnsi="Baloo" w:cs="Baloo"/>
          <w:sz w:val="20"/>
          <w:szCs w:val="20"/>
        </w:rPr>
        <w:t xml:space="preserve"> </w:t>
      </w:r>
      <w:proofErr w:type="spellStart"/>
      <w:r>
        <w:rPr>
          <w:rFonts w:ascii="Baloo" w:eastAsia="Baloo" w:hAnsi="Baloo" w:cs="Baloo"/>
          <w:sz w:val="20"/>
          <w:szCs w:val="20"/>
        </w:rPr>
        <w:t>कानून</w:t>
      </w:r>
      <w:proofErr w:type="spellEnd"/>
      <w:r>
        <w:rPr>
          <w:rFonts w:ascii="Baloo" w:eastAsia="Baloo" w:hAnsi="Baloo" w:cs="Baloo"/>
          <w:sz w:val="20"/>
          <w:szCs w:val="20"/>
        </w:rPr>
        <w:t xml:space="preserve"> </w:t>
      </w:r>
      <w:proofErr w:type="spellStart"/>
      <w:r>
        <w:rPr>
          <w:rFonts w:ascii="Baloo" w:eastAsia="Baloo" w:hAnsi="Baloo" w:cs="Baloo"/>
          <w:sz w:val="20"/>
          <w:szCs w:val="20"/>
        </w:rPr>
        <w:t>तोड़</w:t>
      </w:r>
      <w:proofErr w:type="spellEnd"/>
      <w:r>
        <w:rPr>
          <w:rFonts w:ascii="Baloo" w:eastAsia="Baloo" w:hAnsi="Baloo" w:cs="Baloo"/>
          <w:sz w:val="20"/>
          <w:szCs w:val="20"/>
        </w:rPr>
        <w:t xml:space="preserve"> </w:t>
      </w:r>
      <w:proofErr w:type="spellStart"/>
      <w:r>
        <w:rPr>
          <w:rFonts w:ascii="Baloo" w:eastAsia="Baloo" w:hAnsi="Baloo" w:cs="Baloo"/>
          <w:sz w:val="20"/>
          <w:szCs w:val="20"/>
        </w:rPr>
        <w:t>अस्पताल</w:t>
      </w:r>
      <w:proofErr w:type="spellEnd"/>
      <w:r>
        <w:rPr>
          <w:rFonts w:ascii="Baloo" w:eastAsia="Baloo" w:hAnsi="Baloo" w:cs="Baloo"/>
          <w:sz w:val="20"/>
          <w:szCs w:val="20"/>
        </w:rPr>
        <w:t xml:space="preserve"> </w:t>
      </w:r>
      <w:proofErr w:type="spellStart"/>
      <w:r>
        <w:rPr>
          <w:rFonts w:ascii="Baloo" w:eastAsia="Baloo" w:hAnsi="Baloo" w:cs="Baloo"/>
          <w:sz w:val="20"/>
          <w:szCs w:val="20"/>
        </w:rPr>
        <w:t>में</w:t>
      </w:r>
      <w:proofErr w:type="spellEnd"/>
      <w:r>
        <w:rPr>
          <w:rFonts w:ascii="Baloo" w:eastAsia="Baloo" w:hAnsi="Baloo" w:cs="Baloo"/>
          <w:sz w:val="20"/>
          <w:szCs w:val="20"/>
        </w:rPr>
        <w:t xml:space="preserve"> </w:t>
      </w:r>
      <w:proofErr w:type="spellStart"/>
      <w:r>
        <w:rPr>
          <w:rFonts w:ascii="Baloo" w:eastAsia="Baloo" w:hAnsi="Baloo" w:cs="Baloo"/>
          <w:sz w:val="20"/>
          <w:szCs w:val="20"/>
        </w:rPr>
        <w:t>चली</w:t>
      </w:r>
      <w:proofErr w:type="spellEnd"/>
      <w:r>
        <w:rPr>
          <w:rFonts w:ascii="Baloo" w:eastAsia="Baloo" w:hAnsi="Baloo" w:cs="Baloo"/>
          <w:sz w:val="20"/>
          <w:szCs w:val="20"/>
        </w:rPr>
        <w:t xml:space="preserve"> </w:t>
      </w:r>
      <w:proofErr w:type="spellStart"/>
      <w:r>
        <w:rPr>
          <w:rFonts w:ascii="Baloo" w:eastAsia="Baloo" w:hAnsi="Baloo" w:cs="Baloo"/>
          <w:sz w:val="20"/>
          <w:szCs w:val="20"/>
        </w:rPr>
        <w:t>थी</w:t>
      </w:r>
      <w:proofErr w:type="spellEnd"/>
      <w:r>
        <w:rPr>
          <w:rFonts w:ascii="Baloo" w:eastAsia="Baloo" w:hAnsi="Baloo" w:cs="Baloo"/>
          <w:sz w:val="20"/>
          <w:szCs w:val="20"/>
        </w:rPr>
        <w:t xml:space="preserve"> </w:t>
      </w:r>
      <w:proofErr w:type="spellStart"/>
      <w:r>
        <w:rPr>
          <w:rFonts w:ascii="Baloo" w:eastAsia="Baloo" w:hAnsi="Baloo" w:cs="Baloo"/>
          <w:sz w:val="20"/>
          <w:szCs w:val="20"/>
        </w:rPr>
        <w:t>गोलियां</w:t>
      </w:r>
      <w:proofErr w:type="spellEnd"/>
      <w:r>
        <w:rPr>
          <w:rFonts w:ascii="Baloo" w:eastAsia="Baloo" w:hAnsi="Baloo" w:cs="Baloo"/>
          <w:sz w:val="20"/>
          <w:szCs w:val="20"/>
        </w:rPr>
        <w:t xml:space="preserve">. </w:t>
      </w:r>
      <w:proofErr w:type="spellStart"/>
      <w:r>
        <w:rPr>
          <w:rFonts w:ascii="Baloo" w:eastAsia="Baloo" w:hAnsi="Baloo" w:cs="Baloo"/>
          <w:sz w:val="20"/>
          <w:szCs w:val="20"/>
        </w:rPr>
        <w:t>Navbharat</w:t>
      </w:r>
      <w:proofErr w:type="spellEnd"/>
      <w:r>
        <w:rPr>
          <w:rFonts w:ascii="Baloo" w:eastAsia="Baloo" w:hAnsi="Baloo" w:cs="Baloo"/>
          <w:sz w:val="20"/>
          <w:szCs w:val="20"/>
        </w:rPr>
        <w:t xml:space="preserve"> Times, Online Edition.</w:t>
      </w:r>
    </w:p>
    <w:p w14:paraId="1E5726F5" w14:textId="77777777" w:rsidR="003934E1" w:rsidRDefault="00000000">
      <w:pPr>
        <w:spacing w:line="276"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&lt;</w:t>
      </w:r>
      <w:hyperlink r:id="rId41">
        <w:r w:rsidR="003934E1">
          <w:rPr>
            <w:rFonts w:ascii="Times New Roman" w:eastAsia="Times New Roman" w:hAnsi="Times New Roman" w:cs="Times New Roman"/>
            <w:color w:val="1155CC"/>
            <w:sz w:val="20"/>
            <w:szCs w:val="20"/>
            <w:u w:val="single"/>
          </w:rPr>
          <w:t>https://navbharattimes.indiatimes.com/state/jharkhand/chaibasa/gua-firing-incident-on-8-september-1980-for-first-time-in-country-bullets-were-fired-in-hospital-violating-red-cross-law/articleshow/113155370.cms</w:t>
        </w:r>
      </w:hyperlink>
      <w:r>
        <w:rPr>
          <w:rFonts w:ascii="Times New Roman" w:eastAsia="Times New Roman" w:hAnsi="Times New Roman" w:cs="Times New Roman"/>
          <w:sz w:val="20"/>
          <w:szCs w:val="20"/>
        </w:rPr>
        <w:t>&gt; accessed on July 4, 2025.</w:t>
      </w:r>
    </w:p>
    <w:p w14:paraId="107E558E" w14:textId="77777777" w:rsidR="003934E1" w:rsidRDefault="003934E1">
      <w:pPr>
        <w:spacing w:line="276" w:lineRule="auto"/>
        <w:ind w:left="720"/>
        <w:rPr>
          <w:rFonts w:ascii="Times New Roman" w:eastAsia="Times New Roman" w:hAnsi="Times New Roman" w:cs="Times New Roman"/>
          <w:sz w:val="20"/>
          <w:szCs w:val="20"/>
        </w:rPr>
      </w:pPr>
    </w:p>
    <w:p w14:paraId="59A4E62D" w14:textId="77777777" w:rsidR="003934E1" w:rsidRDefault="00000000">
      <w:pPr>
        <w:numPr>
          <w:ilvl w:val="0"/>
          <w:numId w:val="23"/>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Niyogi &amp; Choudhury. (2022). </w:t>
      </w:r>
      <w:proofErr w:type="spellStart"/>
      <w:r>
        <w:rPr>
          <w:rFonts w:ascii="Times New Roman" w:eastAsia="Times New Roman" w:hAnsi="Times New Roman" w:cs="Times New Roman"/>
          <w:sz w:val="20"/>
          <w:szCs w:val="20"/>
        </w:rPr>
        <w:t>Kolhan</w:t>
      </w:r>
      <w:proofErr w:type="spellEnd"/>
      <w:r>
        <w:rPr>
          <w:rFonts w:ascii="Times New Roman" w:eastAsia="Times New Roman" w:hAnsi="Times New Roman" w:cs="Times New Roman"/>
          <w:sz w:val="20"/>
          <w:szCs w:val="20"/>
        </w:rPr>
        <w:t xml:space="preserve"> government estate: 3 months after recruitment drive, uneasy calm in West </w:t>
      </w:r>
      <w:proofErr w:type="spellStart"/>
      <w:r>
        <w:rPr>
          <w:rFonts w:ascii="Times New Roman" w:eastAsia="Times New Roman" w:hAnsi="Times New Roman" w:cs="Times New Roman"/>
          <w:sz w:val="20"/>
          <w:szCs w:val="20"/>
        </w:rPr>
        <w:t>Singhbhum</w:t>
      </w:r>
      <w:proofErr w:type="spellEnd"/>
      <w:r>
        <w:rPr>
          <w:rFonts w:ascii="Times New Roman" w:eastAsia="Times New Roman" w:hAnsi="Times New Roman" w:cs="Times New Roman"/>
          <w:sz w:val="20"/>
          <w:szCs w:val="20"/>
        </w:rPr>
        <w:t xml:space="preserve"> villages. Down to Earth. Online Edition. &lt;</w:t>
      </w:r>
      <w:hyperlink r:id="rId42">
        <w:r w:rsidR="003934E1">
          <w:rPr>
            <w:rFonts w:ascii="Times New Roman" w:eastAsia="Times New Roman" w:hAnsi="Times New Roman" w:cs="Times New Roman"/>
            <w:color w:val="1155CC"/>
            <w:sz w:val="20"/>
            <w:szCs w:val="20"/>
            <w:u w:val="single"/>
          </w:rPr>
          <w:t>https://www.downtoearth.org.in/governance/kolhan-government-estate-3-months-after-recruitment-drive-uneasy-calm-in-west-singhbhum-villages-82606</w:t>
        </w:r>
      </w:hyperlink>
      <w:r>
        <w:rPr>
          <w:rFonts w:ascii="Times New Roman" w:eastAsia="Times New Roman" w:hAnsi="Times New Roman" w:cs="Times New Roman"/>
          <w:sz w:val="20"/>
          <w:szCs w:val="20"/>
        </w:rPr>
        <w:t>&gt; accessed on July 4, 2025.</w:t>
      </w:r>
    </w:p>
    <w:p w14:paraId="261F3207" w14:textId="77777777" w:rsidR="003934E1" w:rsidRDefault="003934E1">
      <w:pPr>
        <w:spacing w:line="276" w:lineRule="auto"/>
        <w:ind w:left="720"/>
        <w:rPr>
          <w:rFonts w:ascii="Times New Roman" w:eastAsia="Times New Roman" w:hAnsi="Times New Roman" w:cs="Times New Roman"/>
          <w:sz w:val="20"/>
          <w:szCs w:val="20"/>
        </w:rPr>
      </w:pPr>
    </w:p>
    <w:p w14:paraId="15CEFCAE" w14:textId="77777777" w:rsidR="003934E1" w:rsidRDefault="00000000">
      <w:pPr>
        <w:numPr>
          <w:ilvl w:val="0"/>
          <w:numId w:val="23"/>
        </w:numPr>
        <w:spacing w:line="276" w:lineRule="auto"/>
        <w:rPr>
          <w:rFonts w:ascii="Times New Roman" w:eastAsia="Times New Roman" w:hAnsi="Times New Roman" w:cs="Times New Roman"/>
          <w:sz w:val="20"/>
          <w:szCs w:val="20"/>
        </w:rPr>
      </w:pPr>
      <w:r>
        <w:rPr>
          <w:rFonts w:ascii="Baloo" w:eastAsia="Baloo" w:hAnsi="Baloo" w:cs="Baloo"/>
          <w:sz w:val="20"/>
          <w:szCs w:val="20"/>
        </w:rPr>
        <w:t xml:space="preserve">Sandilya, M. (2019). 1 </w:t>
      </w:r>
      <w:proofErr w:type="spellStart"/>
      <w:r>
        <w:rPr>
          <w:rFonts w:ascii="Baloo" w:eastAsia="Baloo" w:hAnsi="Baloo" w:cs="Baloo"/>
          <w:sz w:val="20"/>
          <w:szCs w:val="20"/>
        </w:rPr>
        <w:t>जनवरी</w:t>
      </w:r>
      <w:proofErr w:type="spellEnd"/>
      <w:r>
        <w:rPr>
          <w:rFonts w:ascii="Baloo" w:eastAsia="Baloo" w:hAnsi="Baloo" w:cs="Baloo"/>
          <w:sz w:val="20"/>
          <w:szCs w:val="20"/>
        </w:rPr>
        <w:t xml:space="preserve"> 1948, </w:t>
      </w:r>
      <w:proofErr w:type="spellStart"/>
      <w:r>
        <w:rPr>
          <w:rFonts w:ascii="Baloo" w:eastAsia="Baloo" w:hAnsi="Baloo" w:cs="Baloo"/>
          <w:sz w:val="20"/>
          <w:szCs w:val="20"/>
        </w:rPr>
        <w:t>जब</w:t>
      </w:r>
      <w:proofErr w:type="spellEnd"/>
      <w:r>
        <w:rPr>
          <w:rFonts w:ascii="Baloo" w:eastAsia="Baloo" w:hAnsi="Baloo" w:cs="Baloo"/>
          <w:sz w:val="20"/>
          <w:szCs w:val="20"/>
        </w:rPr>
        <w:t xml:space="preserve"> </w:t>
      </w:r>
      <w:proofErr w:type="spellStart"/>
      <w:r>
        <w:rPr>
          <w:rFonts w:ascii="Baloo" w:eastAsia="Baloo" w:hAnsi="Baloo" w:cs="Baloo"/>
          <w:sz w:val="20"/>
          <w:szCs w:val="20"/>
        </w:rPr>
        <w:t>हुआ</w:t>
      </w:r>
      <w:proofErr w:type="spellEnd"/>
      <w:r>
        <w:rPr>
          <w:rFonts w:ascii="Baloo" w:eastAsia="Baloo" w:hAnsi="Baloo" w:cs="Baloo"/>
          <w:sz w:val="20"/>
          <w:szCs w:val="20"/>
        </w:rPr>
        <w:t xml:space="preserve"> </w:t>
      </w:r>
      <w:proofErr w:type="spellStart"/>
      <w:r>
        <w:rPr>
          <w:rFonts w:ascii="Baloo" w:eastAsia="Baloo" w:hAnsi="Baloo" w:cs="Baloo"/>
          <w:sz w:val="20"/>
          <w:szCs w:val="20"/>
        </w:rPr>
        <w:t>था</w:t>
      </w:r>
      <w:proofErr w:type="spellEnd"/>
      <w:r>
        <w:rPr>
          <w:rFonts w:ascii="Baloo" w:eastAsia="Baloo" w:hAnsi="Baloo" w:cs="Baloo"/>
          <w:sz w:val="20"/>
          <w:szCs w:val="20"/>
        </w:rPr>
        <w:t xml:space="preserve"> </w:t>
      </w:r>
      <w:proofErr w:type="spellStart"/>
      <w:r>
        <w:rPr>
          <w:rFonts w:ascii="Baloo" w:eastAsia="Baloo" w:hAnsi="Baloo" w:cs="Baloo"/>
          <w:sz w:val="20"/>
          <w:szCs w:val="20"/>
        </w:rPr>
        <w:t>आज़ाद</w:t>
      </w:r>
      <w:proofErr w:type="spellEnd"/>
      <w:r>
        <w:rPr>
          <w:rFonts w:ascii="Baloo" w:eastAsia="Baloo" w:hAnsi="Baloo" w:cs="Baloo"/>
          <w:sz w:val="20"/>
          <w:szCs w:val="20"/>
        </w:rPr>
        <w:t xml:space="preserve"> </w:t>
      </w:r>
      <w:proofErr w:type="spellStart"/>
      <w:r>
        <w:rPr>
          <w:rFonts w:ascii="Baloo" w:eastAsia="Baloo" w:hAnsi="Baloo" w:cs="Baloo"/>
          <w:sz w:val="20"/>
          <w:szCs w:val="20"/>
        </w:rPr>
        <w:t>भारत</w:t>
      </w:r>
      <w:proofErr w:type="spellEnd"/>
      <w:r>
        <w:rPr>
          <w:rFonts w:ascii="Baloo" w:eastAsia="Baloo" w:hAnsi="Baloo" w:cs="Baloo"/>
          <w:sz w:val="20"/>
          <w:szCs w:val="20"/>
        </w:rPr>
        <w:t xml:space="preserve"> </w:t>
      </w:r>
      <w:proofErr w:type="spellStart"/>
      <w:r>
        <w:rPr>
          <w:rFonts w:ascii="Baloo" w:eastAsia="Baloo" w:hAnsi="Baloo" w:cs="Baloo"/>
          <w:sz w:val="20"/>
          <w:szCs w:val="20"/>
        </w:rPr>
        <w:t>का</w:t>
      </w:r>
      <w:proofErr w:type="spellEnd"/>
      <w:r>
        <w:rPr>
          <w:rFonts w:ascii="Baloo" w:eastAsia="Baloo" w:hAnsi="Baloo" w:cs="Baloo"/>
          <w:sz w:val="20"/>
          <w:szCs w:val="20"/>
        </w:rPr>
        <w:t xml:space="preserve"> '</w:t>
      </w:r>
      <w:proofErr w:type="spellStart"/>
      <w:r>
        <w:rPr>
          <w:rFonts w:ascii="Baloo" w:eastAsia="Baloo" w:hAnsi="Baloo" w:cs="Baloo"/>
          <w:sz w:val="20"/>
          <w:szCs w:val="20"/>
        </w:rPr>
        <w:t>जलियांवाला</w:t>
      </w:r>
      <w:proofErr w:type="spellEnd"/>
      <w:r>
        <w:rPr>
          <w:rFonts w:ascii="Baloo" w:eastAsia="Baloo" w:hAnsi="Baloo" w:cs="Baloo"/>
          <w:sz w:val="20"/>
          <w:szCs w:val="20"/>
        </w:rPr>
        <w:t xml:space="preserve"> </w:t>
      </w:r>
      <w:proofErr w:type="spellStart"/>
      <w:r>
        <w:rPr>
          <w:rFonts w:ascii="Baloo" w:eastAsia="Baloo" w:hAnsi="Baloo" w:cs="Baloo"/>
          <w:sz w:val="20"/>
          <w:szCs w:val="20"/>
        </w:rPr>
        <w:t>बाग़</w:t>
      </w:r>
      <w:proofErr w:type="spellEnd"/>
      <w:r>
        <w:rPr>
          <w:rFonts w:ascii="Baloo" w:eastAsia="Baloo" w:hAnsi="Baloo" w:cs="Baloo"/>
          <w:sz w:val="20"/>
          <w:szCs w:val="20"/>
        </w:rPr>
        <w:t xml:space="preserve"> </w:t>
      </w:r>
      <w:proofErr w:type="spellStart"/>
      <w:r>
        <w:rPr>
          <w:rFonts w:ascii="Baloo" w:eastAsia="Baloo" w:hAnsi="Baloo" w:cs="Baloo"/>
          <w:sz w:val="20"/>
          <w:szCs w:val="20"/>
        </w:rPr>
        <w:t>कांड</w:t>
      </w:r>
      <w:proofErr w:type="spellEnd"/>
      <w:r>
        <w:rPr>
          <w:rFonts w:ascii="Baloo" w:eastAsia="Baloo" w:hAnsi="Baloo" w:cs="Baloo"/>
          <w:sz w:val="20"/>
          <w:szCs w:val="20"/>
        </w:rPr>
        <w:t>' . BBC Hindi. Online Edition &lt;</w:t>
      </w:r>
      <w:hyperlink r:id="rId43">
        <w:r w:rsidR="003934E1">
          <w:rPr>
            <w:rFonts w:ascii="Times New Roman" w:eastAsia="Times New Roman" w:hAnsi="Times New Roman" w:cs="Times New Roman"/>
            <w:color w:val="1155CC"/>
            <w:sz w:val="20"/>
            <w:szCs w:val="20"/>
            <w:u w:val="single"/>
          </w:rPr>
          <w:t>https://www.bbc.com/hindi/india-46725260</w:t>
        </w:r>
      </w:hyperlink>
      <w:r>
        <w:rPr>
          <w:rFonts w:ascii="Times New Roman" w:eastAsia="Times New Roman" w:hAnsi="Times New Roman" w:cs="Times New Roman"/>
          <w:sz w:val="20"/>
          <w:szCs w:val="20"/>
        </w:rPr>
        <w:t>&gt; accessed on July 4 2025.</w:t>
      </w:r>
    </w:p>
    <w:p w14:paraId="40C05349" w14:textId="77777777" w:rsidR="003934E1" w:rsidRDefault="003934E1">
      <w:pPr>
        <w:spacing w:line="276" w:lineRule="auto"/>
        <w:ind w:left="720"/>
        <w:rPr>
          <w:rFonts w:ascii="Times New Roman" w:eastAsia="Times New Roman" w:hAnsi="Times New Roman" w:cs="Times New Roman"/>
          <w:b/>
          <w:sz w:val="20"/>
          <w:szCs w:val="20"/>
          <w:u w:val="single"/>
        </w:rPr>
      </w:pPr>
    </w:p>
    <w:p w14:paraId="2D47FA94" w14:textId="77777777" w:rsidR="003934E1" w:rsidRDefault="00000000">
      <w:pPr>
        <w:numPr>
          <w:ilvl w:val="0"/>
          <w:numId w:val="23"/>
        </w:numPr>
        <w:spacing w:line="48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Sengupta, A. (2024). Remembering independent India’s ‘Jallianwala Bagh’: The </w:t>
      </w:r>
      <w:proofErr w:type="spellStart"/>
      <w:r>
        <w:rPr>
          <w:rFonts w:ascii="Times New Roman" w:eastAsia="Times New Roman" w:hAnsi="Times New Roman" w:cs="Times New Roman"/>
          <w:sz w:val="20"/>
          <w:szCs w:val="20"/>
        </w:rPr>
        <w:t>Kharsawan</w:t>
      </w:r>
      <w:proofErr w:type="spellEnd"/>
      <w:r>
        <w:rPr>
          <w:rFonts w:ascii="Times New Roman" w:eastAsia="Times New Roman" w:hAnsi="Times New Roman" w:cs="Times New Roman"/>
          <w:sz w:val="20"/>
          <w:szCs w:val="20"/>
        </w:rPr>
        <w:t xml:space="preserve"> massacre of 1948. Indian Express. Online Edition. &lt;</w:t>
      </w:r>
      <w:r>
        <w:rPr>
          <w:rFonts w:ascii="Times New Roman" w:eastAsia="Times New Roman" w:hAnsi="Times New Roman" w:cs="Times New Roman"/>
          <w:color w:val="1154CC"/>
          <w:sz w:val="20"/>
          <w:szCs w:val="20"/>
        </w:rPr>
        <w:t>https://indianexpress.com/article/explained/explained-history/kharsawan-massacre-jharkhand-tribal-9090377/</w:t>
      </w:r>
      <w:r>
        <w:rPr>
          <w:rFonts w:ascii="Times New Roman" w:eastAsia="Times New Roman" w:hAnsi="Times New Roman" w:cs="Times New Roman"/>
          <w:sz w:val="20"/>
          <w:szCs w:val="20"/>
        </w:rPr>
        <w:t>&gt; accessed on July 4, 2025</w:t>
      </w:r>
    </w:p>
    <w:p w14:paraId="3D64B830" w14:textId="77777777" w:rsidR="003934E1" w:rsidRDefault="00000000">
      <w:pPr>
        <w:numPr>
          <w:ilvl w:val="0"/>
          <w:numId w:val="23"/>
        </w:numPr>
        <w:spacing w:line="480" w:lineRule="auto"/>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Thumbi</w:t>
      </w:r>
      <w:proofErr w:type="spellEnd"/>
      <w:r>
        <w:rPr>
          <w:rFonts w:ascii="Times New Roman" w:eastAsia="Times New Roman" w:hAnsi="Times New Roman" w:cs="Times New Roman"/>
          <w:sz w:val="20"/>
          <w:szCs w:val="20"/>
        </w:rPr>
        <w:t xml:space="preserve"> (2025). January 1st, </w:t>
      </w:r>
      <w:proofErr w:type="spellStart"/>
      <w:r>
        <w:rPr>
          <w:rFonts w:ascii="Times New Roman" w:eastAsia="Times New Roman" w:hAnsi="Times New Roman" w:cs="Times New Roman"/>
          <w:sz w:val="20"/>
          <w:szCs w:val="20"/>
        </w:rPr>
        <w:t>Kharsawan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Golikaand</w:t>
      </w:r>
      <w:proofErr w:type="spellEnd"/>
      <w:r>
        <w:rPr>
          <w:rFonts w:ascii="Times New Roman" w:eastAsia="Times New Roman" w:hAnsi="Times New Roman" w:cs="Times New Roman"/>
          <w:sz w:val="20"/>
          <w:szCs w:val="20"/>
        </w:rPr>
        <w:t xml:space="preserve">: A Day of Mourning, Resistance, and Celebration For the Adivasis of </w:t>
      </w:r>
      <w:proofErr w:type="spellStart"/>
      <w:r>
        <w:rPr>
          <w:rFonts w:ascii="Times New Roman" w:eastAsia="Times New Roman" w:hAnsi="Times New Roman" w:cs="Times New Roman"/>
          <w:sz w:val="20"/>
          <w:szCs w:val="20"/>
        </w:rPr>
        <w:t>Singhbhum</w:t>
      </w:r>
      <w:proofErr w:type="spellEnd"/>
      <w:r>
        <w:rPr>
          <w:rFonts w:ascii="Times New Roman" w:eastAsia="Times New Roman" w:hAnsi="Times New Roman" w:cs="Times New Roman"/>
          <w:sz w:val="20"/>
          <w:szCs w:val="20"/>
        </w:rPr>
        <w:t xml:space="preserve">. The Polis Project. Online Edition. </w:t>
      </w:r>
      <w:r>
        <w:rPr>
          <w:rFonts w:ascii="Times New Roman" w:eastAsia="Times New Roman" w:hAnsi="Times New Roman" w:cs="Times New Roman"/>
          <w:sz w:val="20"/>
          <w:szCs w:val="20"/>
        </w:rPr>
        <w:lastRenderedPageBreak/>
        <w:t>&lt;</w:t>
      </w:r>
      <w:hyperlink r:id="rId44">
        <w:r w:rsidR="003934E1">
          <w:rPr>
            <w:rFonts w:ascii="Times New Roman" w:eastAsia="Times New Roman" w:hAnsi="Times New Roman" w:cs="Times New Roman"/>
            <w:color w:val="1155CC"/>
            <w:sz w:val="20"/>
            <w:szCs w:val="20"/>
            <w:u w:val="single"/>
          </w:rPr>
          <w:t>https://www.thepolisproject.com/read/kharsawan-golikaand-adivasi-massacre/</w:t>
        </w:r>
      </w:hyperlink>
      <w:r>
        <w:rPr>
          <w:rFonts w:ascii="Times New Roman" w:eastAsia="Times New Roman" w:hAnsi="Times New Roman" w:cs="Times New Roman"/>
          <w:sz w:val="20"/>
          <w:szCs w:val="20"/>
        </w:rPr>
        <w:t>&gt; accessed on July 4, 2025.</w:t>
      </w:r>
    </w:p>
    <w:p w14:paraId="5BFADAA9" w14:textId="77777777" w:rsidR="003934E1" w:rsidRDefault="00000000">
      <w:pPr>
        <w:numPr>
          <w:ilvl w:val="0"/>
          <w:numId w:val="23"/>
        </w:numPr>
        <w:spacing w:line="276" w:lineRule="auto"/>
        <w:rPr>
          <w:rFonts w:ascii="Times New Roman" w:eastAsia="Times New Roman" w:hAnsi="Times New Roman" w:cs="Times New Roman"/>
          <w:sz w:val="20"/>
          <w:szCs w:val="20"/>
        </w:rPr>
      </w:pPr>
      <w:r>
        <w:rPr>
          <w:rFonts w:ascii="Baloo" w:eastAsia="Baloo" w:hAnsi="Baloo" w:cs="Baloo"/>
          <w:sz w:val="20"/>
          <w:szCs w:val="20"/>
        </w:rPr>
        <w:t xml:space="preserve">Prakash, R. (2018). </w:t>
      </w:r>
      <w:proofErr w:type="spellStart"/>
      <w:r>
        <w:rPr>
          <w:rFonts w:ascii="Baloo" w:eastAsia="Baloo" w:hAnsi="Baloo" w:cs="Baloo"/>
          <w:sz w:val="20"/>
          <w:szCs w:val="20"/>
        </w:rPr>
        <w:t>क्यों</w:t>
      </w:r>
      <w:proofErr w:type="spellEnd"/>
      <w:r>
        <w:rPr>
          <w:rFonts w:ascii="Baloo" w:eastAsia="Baloo" w:hAnsi="Baloo" w:cs="Baloo"/>
          <w:sz w:val="20"/>
          <w:szCs w:val="20"/>
        </w:rPr>
        <w:t xml:space="preserve"> </w:t>
      </w:r>
      <w:proofErr w:type="spellStart"/>
      <w:r>
        <w:rPr>
          <w:rFonts w:ascii="Baloo" w:eastAsia="Baloo" w:hAnsi="Baloo" w:cs="Baloo"/>
          <w:sz w:val="20"/>
          <w:szCs w:val="20"/>
        </w:rPr>
        <w:t>उठ</w:t>
      </w:r>
      <w:proofErr w:type="spellEnd"/>
      <w:r>
        <w:rPr>
          <w:rFonts w:ascii="Baloo" w:eastAsia="Baloo" w:hAnsi="Baloo" w:cs="Baloo"/>
          <w:sz w:val="20"/>
          <w:szCs w:val="20"/>
        </w:rPr>
        <w:t xml:space="preserve"> </w:t>
      </w:r>
      <w:proofErr w:type="spellStart"/>
      <w:r>
        <w:rPr>
          <w:rFonts w:ascii="Baloo" w:eastAsia="Baloo" w:hAnsi="Baloo" w:cs="Baloo"/>
          <w:sz w:val="20"/>
          <w:szCs w:val="20"/>
        </w:rPr>
        <w:t>रहा</w:t>
      </w:r>
      <w:proofErr w:type="spellEnd"/>
      <w:r>
        <w:rPr>
          <w:rFonts w:ascii="Baloo" w:eastAsia="Baloo" w:hAnsi="Baloo" w:cs="Baloo"/>
          <w:sz w:val="20"/>
          <w:szCs w:val="20"/>
        </w:rPr>
        <w:t xml:space="preserve"> </w:t>
      </w:r>
      <w:proofErr w:type="spellStart"/>
      <w:r>
        <w:rPr>
          <w:rFonts w:ascii="Baloo" w:eastAsia="Baloo" w:hAnsi="Baloo" w:cs="Baloo"/>
          <w:sz w:val="20"/>
          <w:szCs w:val="20"/>
        </w:rPr>
        <w:t>है</w:t>
      </w:r>
      <w:proofErr w:type="spellEnd"/>
      <w:r>
        <w:rPr>
          <w:rFonts w:ascii="Baloo" w:eastAsia="Baloo" w:hAnsi="Baloo" w:cs="Baloo"/>
          <w:sz w:val="20"/>
          <w:szCs w:val="20"/>
        </w:rPr>
        <w:t xml:space="preserve"> </w:t>
      </w:r>
      <w:proofErr w:type="spellStart"/>
      <w:r>
        <w:rPr>
          <w:rFonts w:ascii="Baloo" w:eastAsia="Baloo" w:hAnsi="Baloo" w:cs="Baloo"/>
          <w:sz w:val="20"/>
          <w:szCs w:val="20"/>
        </w:rPr>
        <w:t>अलग</w:t>
      </w:r>
      <w:proofErr w:type="spellEnd"/>
      <w:r>
        <w:rPr>
          <w:rFonts w:ascii="Baloo" w:eastAsia="Baloo" w:hAnsi="Baloo" w:cs="Baloo"/>
          <w:sz w:val="20"/>
          <w:szCs w:val="20"/>
        </w:rPr>
        <w:t xml:space="preserve"> </w:t>
      </w:r>
      <w:proofErr w:type="spellStart"/>
      <w:r>
        <w:rPr>
          <w:rFonts w:ascii="Baloo" w:eastAsia="Baloo" w:hAnsi="Baloo" w:cs="Baloo"/>
          <w:sz w:val="20"/>
          <w:szCs w:val="20"/>
        </w:rPr>
        <w:t>कोल्हान</w:t>
      </w:r>
      <w:proofErr w:type="spellEnd"/>
      <w:r>
        <w:rPr>
          <w:rFonts w:ascii="Baloo" w:eastAsia="Baloo" w:hAnsi="Baloo" w:cs="Baloo"/>
          <w:sz w:val="20"/>
          <w:szCs w:val="20"/>
        </w:rPr>
        <w:t xml:space="preserve"> </w:t>
      </w:r>
      <w:proofErr w:type="spellStart"/>
      <w:r>
        <w:rPr>
          <w:rFonts w:ascii="Baloo" w:eastAsia="Baloo" w:hAnsi="Baloo" w:cs="Baloo"/>
          <w:sz w:val="20"/>
          <w:szCs w:val="20"/>
        </w:rPr>
        <w:t>देश</w:t>
      </w:r>
      <w:proofErr w:type="spellEnd"/>
      <w:r>
        <w:rPr>
          <w:rFonts w:ascii="Baloo" w:eastAsia="Baloo" w:hAnsi="Baloo" w:cs="Baloo"/>
          <w:sz w:val="20"/>
          <w:szCs w:val="20"/>
        </w:rPr>
        <w:t xml:space="preserve"> </w:t>
      </w:r>
      <w:proofErr w:type="spellStart"/>
      <w:r>
        <w:rPr>
          <w:rFonts w:ascii="Baloo" w:eastAsia="Baloo" w:hAnsi="Baloo" w:cs="Baloo"/>
          <w:sz w:val="20"/>
          <w:szCs w:val="20"/>
        </w:rPr>
        <w:t>का</w:t>
      </w:r>
      <w:proofErr w:type="spellEnd"/>
      <w:r>
        <w:rPr>
          <w:rFonts w:ascii="Baloo" w:eastAsia="Baloo" w:hAnsi="Baloo" w:cs="Baloo"/>
          <w:sz w:val="20"/>
          <w:szCs w:val="20"/>
        </w:rPr>
        <w:t xml:space="preserve"> </w:t>
      </w:r>
      <w:proofErr w:type="spellStart"/>
      <w:r>
        <w:rPr>
          <w:rFonts w:ascii="Baloo" w:eastAsia="Baloo" w:hAnsi="Baloo" w:cs="Baloo"/>
          <w:sz w:val="20"/>
          <w:szCs w:val="20"/>
        </w:rPr>
        <w:t>मुद्दा</w:t>
      </w:r>
      <w:proofErr w:type="spellEnd"/>
      <w:r>
        <w:rPr>
          <w:rFonts w:ascii="Baloo" w:eastAsia="Baloo" w:hAnsi="Baloo" w:cs="Baloo"/>
          <w:sz w:val="20"/>
          <w:szCs w:val="20"/>
        </w:rPr>
        <w:t xml:space="preserve">?. BBC News Hindi. Online Edition. </w:t>
      </w:r>
    </w:p>
    <w:p w14:paraId="41A35B56" w14:textId="77777777" w:rsidR="003934E1" w:rsidRDefault="00000000">
      <w:pPr>
        <w:spacing w:line="276"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&lt;</w:t>
      </w:r>
      <w:hyperlink r:id="rId45">
        <w:r w:rsidR="003934E1">
          <w:rPr>
            <w:rFonts w:ascii="Times New Roman" w:eastAsia="Times New Roman" w:hAnsi="Times New Roman" w:cs="Times New Roman"/>
            <w:color w:val="1155CC"/>
            <w:sz w:val="20"/>
            <w:szCs w:val="20"/>
            <w:u w:val="single"/>
          </w:rPr>
          <w:t>https://www.bbc.com/hindi/india-43570421</w:t>
        </w:r>
      </w:hyperlink>
      <w:r>
        <w:rPr>
          <w:rFonts w:ascii="Times New Roman" w:eastAsia="Times New Roman" w:hAnsi="Times New Roman" w:cs="Times New Roman"/>
          <w:sz w:val="20"/>
          <w:szCs w:val="20"/>
        </w:rPr>
        <w:t>&gt; accessed on July 4, 2025.</w:t>
      </w:r>
    </w:p>
    <w:p w14:paraId="32F3D932" w14:textId="77777777" w:rsidR="003934E1" w:rsidRDefault="003934E1">
      <w:pPr>
        <w:spacing w:line="276" w:lineRule="auto"/>
        <w:ind w:left="720"/>
        <w:rPr>
          <w:rFonts w:ascii="Times New Roman" w:eastAsia="Times New Roman" w:hAnsi="Times New Roman" w:cs="Times New Roman"/>
          <w:sz w:val="20"/>
          <w:szCs w:val="20"/>
        </w:rPr>
      </w:pPr>
    </w:p>
    <w:p w14:paraId="4FE01CAB" w14:textId="77777777" w:rsidR="003934E1" w:rsidRDefault="003934E1">
      <w:pPr>
        <w:spacing w:line="276" w:lineRule="auto"/>
        <w:rPr>
          <w:rFonts w:ascii="Times New Roman" w:eastAsia="Times New Roman" w:hAnsi="Times New Roman" w:cs="Times New Roman"/>
          <w:b/>
          <w:sz w:val="20"/>
          <w:szCs w:val="20"/>
          <w:u w:val="single"/>
        </w:rPr>
      </w:pPr>
    </w:p>
    <w:p w14:paraId="63B8AD3A" w14:textId="77777777" w:rsidR="003934E1" w:rsidRDefault="00000000">
      <w:pPr>
        <w:spacing w:line="276" w:lineRule="auto"/>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Court Cases</w:t>
      </w:r>
    </w:p>
    <w:p w14:paraId="3EDA737F" w14:textId="77777777" w:rsidR="003934E1" w:rsidRDefault="003934E1">
      <w:pPr>
        <w:spacing w:line="276" w:lineRule="auto"/>
        <w:rPr>
          <w:rFonts w:ascii="Times New Roman" w:eastAsia="Times New Roman" w:hAnsi="Times New Roman" w:cs="Times New Roman"/>
          <w:sz w:val="20"/>
          <w:szCs w:val="20"/>
        </w:rPr>
      </w:pPr>
    </w:p>
    <w:p w14:paraId="5D8D986A" w14:textId="77777777" w:rsidR="003934E1" w:rsidRDefault="00000000">
      <w:pPr>
        <w:numPr>
          <w:ilvl w:val="0"/>
          <w:numId w:val="2"/>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Mora Ho vs State Of Bihar And Ors. on 5 January, 2000</w:t>
      </w:r>
    </w:p>
    <w:p w14:paraId="1C1D0D13" w14:textId="77777777" w:rsidR="003934E1" w:rsidRDefault="003934E1">
      <w:pPr>
        <w:spacing w:line="276" w:lineRule="auto"/>
        <w:ind w:left="720"/>
        <w:rPr>
          <w:rFonts w:ascii="Times New Roman" w:eastAsia="Times New Roman" w:hAnsi="Times New Roman" w:cs="Times New Roman"/>
          <w:sz w:val="20"/>
          <w:szCs w:val="20"/>
        </w:rPr>
      </w:pPr>
    </w:p>
    <w:p w14:paraId="218B6154" w14:textId="77777777" w:rsidR="003934E1" w:rsidRDefault="00000000">
      <w:pPr>
        <w:spacing w:line="276" w:lineRule="auto"/>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AIR2000PAT101, 2000(48)BLJR783, AIR 2000 PATNA 101, 2000 A I H C 2292, 2000 SCFBRC 250, 2000 BLJR 1 783, (2000) 1 PAT LJR 692, (2000) 1 BLJ 762</w:t>
      </w:r>
    </w:p>
    <w:p w14:paraId="7B219BAB" w14:textId="77777777" w:rsidR="003934E1" w:rsidRDefault="003934E1">
      <w:pPr>
        <w:spacing w:line="276" w:lineRule="auto"/>
        <w:ind w:left="720"/>
        <w:rPr>
          <w:rFonts w:ascii="Times New Roman" w:eastAsia="Times New Roman" w:hAnsi="Times New Roman" w:cs="Times New Roman"/>
          <w:sz w:val="20"/>
          <w:szCs w:val="20"/>
        </w:rPr>
      </w:pPr>
    </w:p>
    <w:p w14:paraId="535DEC40" w14:textId="77777777" w:rsidR="003934E1" w:rsidRDefault="003934E1">
      <w:pPr>
        <w:spacing w:line="276" w:lineRule="auto"/>
        <w:ind w:left="720"/>
        <w:rPr>
          <w:rFonts w:ascii="Times New Roman" w:eastAsia="Times New Roman" w:hAnsi="Times New Roman" w:cs="Times New Roman"/>
          <w:sz w:val="20"/>
          <w:szCs w:val="20"/>
        </w:rPr>
      </w:pPr>
    </w:p>
    <w:p w14:paraId="553D3A20" w14:textId="77777777" w:rsidR="003934E1" w:rsidRDefault="003934E1">
      <w:pPr>
        <w:spacing w:line="360" w:lineRule="auto"/>
        <w:rPr>
          <w:rFonts w:ascii="Times New Roman" w:eastAsia="Times New Roman" w:hAnsi="Times New Roman" w:cs="Times New Roman"/>
        </w:rPr>
      </w:pPr>
    </w:p>
    <w:p w14:paraId="28EBC687" w14:textId="77777777" w:rsidR="003934E1" w:rsidRDefault="00000000">
      <w:pPr>
        <w:widowControl w:val="0"/>
        <w:spacing w:before="79" w:line="276" w:lineRule="auto"/>
        <w:ind w:left="440" w:right="114"/>
        <w:jc w:val="both"/>
        <w:rPr>
          <w:rFonts w:ascii="Times New Roman" w:eastAsia="Times New Roman" w:hAnsi="Times New Roman" w:cs="Times New Roman"/>
        </w:rPr>
      </w:pPr>
      <w:r>
        <w:rPr>
          <w:rFonts w:ascii="Times New Roman" w:eastAsia="Times New Roman" w:hAnsi="Times New Roman" w:cs="Times New Roman"/>
          <w:b/>
        </w:rPr>
        <w:t>Author, Affiliation, Country, Contact</w:t>
      </w:r>
      <w:r>
        <w:rPr>
          <w:rFonts w:ascii="Times New Roman" w:eastAsia="Times New Roman" w:hAnsi="Times New Roman" w:cs="Times New Roman"/>
        </w:rPr>
        <w:t xml:space="preserve">- Dr Samarth Singhal, Department of English, University of Delhi, India, </w:t>
      </w:r>
      <w:hyperlink r:id="rId46">
        <w:r w:rsidR="003934E1">
          <w:rPr>
            <w:rFonts w:ascii="Times New Roman" w:eastAsia="Times New Roman" w:hAnsi="Times New Roman" w:cs="Times New Roman"/>
            <w:color w:val="467886"/>
            <w:u w:val="single"/>
          </w:rPr>
          <w:t>samarth864@gmail.com</w:t>
        </w:r>
      </w:hyperlink>
      <w:r>
        <w:rPr>
          <w:rFonts w:ascii="Times New Roman" w:eastAsia="Times New Roman" w:hAnsi="Times New Roman" w:cs="Times New Roman"/>
        </w:rPr>
        <w:t>, (+91) 9650075961</w:t>
      </w:r>
    </w:p>
    <w:p w14:paraId="782BE7E8" w14:textId="77777777" w:rsidR="003934E1" w:rsidRDefault="003934E1">
      <w:pPr>
        <w:spacing w:line="360" w:lineRule="auto"/>
        <w:rPr>
          <w:rFonts w:ascii="Times New Roman" w:eastAsia="Times New Roman" w:hAnsi="Times New Roman" w:cs="Times New Roman"/>
        </w:rPr>
      </w:pPr>
    </w:p>
    <w:p w14:paraId="476C9855" w14:textId="77777777" w:rsidR="003934E1"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Abstract</w:t>
      </w:r>
    </w:p>
    <w:p w14:paraId="2C1CC1AF" w14:textId="77777777" w:rsidR="003934E1" w:rsidRDefault="00000000">
      <w:pPr>
        <w:widowControl w:val="0"/>
        <w:spacing w:before="79" w:line="276" w:lineRule="auto"/>
        <w:ind w:left="440" w:right="114"/>
        <w:jc w:val="both"/>
        <w:rPr>
          <w:rFonts w:ascii="Times New Roman" w:eastAsia="Times New Roman" w:hAnsi="Times New Roman" w:cs="Times New Roman"/>
          <w:b/>
        </w:rPr>
      </w:pPr>
      <w:r>
        <w:rPr>
          <w:rFonts w:ascii="Times New Roman" w:eastAsia="Times New Roman" w:hAnsi="Times New Roman" w:cs="Times New Roman"/>
          <w:b/>
        </w:rPr>
        <w:t xml:space="preserve">Collaboration and/or Appropriation: Adivasi art in the Anglophone </w:t>
      </w:r>
      <w:proofErr w:type="spellStart"/>
      <w:r>
        <w:rPr>
          <w:rFonts w:ascii="Times New Roman" w:eastAsia="Times New Roman" w:hAnsi="Times New Roman" w:cs="Times New Roman"/>
          <w:b/>
        </w:rPr>
        <w:t>Picturebook</w:t>
      </w:r>
      <w:proofErr w:type="spellEnd"/>
    </w:p>
    <w:p w14:paraId="663F1104" w14:textId="77777777" w:rsidR="003934E1" w:rsidRDefault="00000000">
      <w:pPr>
        <w:widowControl w:val="0"/>
        <w:spacing w:before="79" w:line="276" w:lineRule="auto"/>
        <w:ind w:left="440" w:right="114"/>
        <w:jc w:val="both"/>
        <w:rPr>
          <w:rFonts w:ascii="Times New Roman" w:eastAsia="Times New Roman" w:hAnsi="Times New Roman" w:cs="Times New Roman"/>
        </w:rPr>
      </w:pPr>
      <w:r>
        <w:rPr>
          <w:rFonts w:ascii="Times New Roman" w:eastAsia="Times New Roman" w:hAnsi="Times New Roman" w:cs="Times New Roman"/>
        </w:rPr>
        <w:t xml:space="preserve">Anthropologists, artists, writers, and administrators have used outsider storytelling to create a monological lens through which to view the Adivasi. Consequent primitivism has solidified the othering of Adivasi bodies and storytelling. A self-representation is imperative. The work of </w:t>
      </w:r>
      <w:proofErr w:type="spellStart"/>
      <w:r>
        <w:rPr>
          <w:rFonts w:ascii="Times New Roman" w:eastAsia="Times New Roman" w:hAnsi="Times New Roman" w:cs="Times New Roman"/>
        </w:rPr>
        <w:t>Bhajju</w:t>
      </w:r>
      <w:proofErr w:type="spellEnd"/>
      <w:r>
        <w:rPr>
          <w:rFonts w:ascii="Times New Roman" w:eastAsia="Times New Roman" w:hAnsi="Times New Roman" w:cs="Times New Roman"/>
        </w:rPr>
        <w:t xml:space="preserve"> Shyam-a </w:t>
      </w:r>
      <w:proofErr w:type="spellStart"/>
      <w:r>
        <w:rPr>
          <w:rFonts w:ascii="Times New Roman" w:eastAsia="Times New Roman" w:hAnsi="Times New Roman" w:cs="Times New Roman"/>
        </w:rPr>
        <w:t>Pardhan</w:t>
      </w:r>
      <w:proofErr w:type="spellEnd"/>
      <w:r>
        <w:rPr>
          <w:rFonts w:ascii="Times New Roman" w:eastAsia="Times New Roman" w:hAnsi="Times New Roman" w:cs="Times New Roman"/>
        </w:rPr>
        <w:t xml:space="preserve"> bard from the larger Gond tribe in Central India-who uses his community’s artform “Gond painting” to illustrate </w:t>
      </w:r>
      <w:proofErr w:type="spellStart"/>
      <w:r>
        <w:rPr>
          <w:rFonts w:ascii="Times New Roman" w:eastAsia="Times New Roman" w:hAnsi="Times New Roman" w:cs="Times New Roman"/>
        </w:rPr>
        <w:t>picturebooks</w:t>
      </w:r>
      <w:proofErr w:type="spellEnd"/>
      <w:r>
        <w:rPr>
          <w:rFonts w:ascii="Times New Roman" w:eastAsia="Times New Roman" w:hAnsi="Times New Roman" w:cs="Times New Roman"/>
        </w:rPr>
        <w:t xml:space="preserve">, is one example of self-representation. My research uses literary and visual analysis of said </w:t>
      </w:r>
      <w:proofErr w:type="spellStart"/>
      <w:r>
        <w:rPr>
          <w:rFonts w:ascii="Times New Roman" w:eastAsia="Times New Roman" w:hAnsi="Times New Roman" w:cs="Times New Roman"/>
        </w:rPr>
        <w:t>picturebooks</w:t>
      </w:r>
      <w:proofErr w:type="spellEnd"/>
      <w:r>
        <w:rPr>
          <w:rFonts w:ascii="Times New Roman" w:eastAsia="Times New Roman" w:hAnsi="Times New Roman" w:cs="Times New Roman"/>
        </w:rPr>
        <w:t xml:space="preserve">, as well ethnographic interviews with the Adivasi artists, to explore artistic agency exercised in the illustration of the books. In this paper, I will discuss </w:t>
      </w:r>
      <w:r>
        <w:rPr>
          <w:rFonts w:ascii="Times New Roman" w:eastAsia="Times New Roman" w:hAnsi="Times New Roman" w:cs="Times New Roman"/>
          <w:i/>
        </w:rPr>
        <w:t>Creation</w:t>
      </w:r>
      <w:r>
        <w:rPr>
          <w:rFonts w:ascii="Times New Roman" w:eastAsia="Times New Roman" w:hAnsi="Times New Roman" w:cs="Times New Roman"/>
        </w:rPr>
        <w:t xml:space="preserve"> (2014), a visual rendition of various creation myths found in the </w:t>
      </w:r>
      <w:proofErr w:type="spellStart"/>
      <w:r>
        <w:rPr>
          <w:rFonts w:ascii="Times New Roman" w:eastAsia="Times New Roman" w:hAnsi="Times New Roman" w:cs="Times New Roman"/>
        </w:rPr>
        <w:t>Pardhan</w:t>
      </w:r>
      <w:proofErr w:type="spellEnd"/>
      <w:r>
        <w:rPr>
          <w:rFonts w:ascii="Times New Roman" w:eastAsia="Times New Roman" w:hAnsi="Times New Roman" w:cs="Times New Roman"/>
        </w:rPr>
        <w:t xml:space="preserve"> repertoire. But self-representation is not easy. These </w:t>
      </w:r>
      <w:proofErr w:type="spellStart"/>
      <w:r>
        <w:rPr>
          <w:rFonts w:ascii="Times New Roman" w:eastAsia="Times New Roman" w:hAnsi="Times New Roman" w:cs="Times New Roman"/>
        </w:rPr>
        <w:t>picturebooks</w:t>
      </w:r>
      <w:proofErr w:type="spellEnd"/>
      <w:r>
        <w:rPr>
          <w:rFonts w:ascii="Times New Roman" w:eastAsia="Times New Roman" w:hAnsi="Times New Roman" w:cs="Times New Roman"/>
        </w:rPr>
        <w:t xml:space="preserve"> transpire in an alliance between Indigenous artist and urban “alternative” publishing house Tara Books (Chennai). Each text is a collaboration between Adivasi self-representation and an editorial will to be ethical. While such </w:t>
      </w:r>
      <w:proofErr w:type="spellStart"/>
      <w:r>
        <w:rPr>
          <w:rFonts w:ascii="Times New Roman" w:eastAsia="Times New Roman" w:hAnsi="Times New Roman" w:cs="Times New Roman"/>
        </w:rPr>
        <w:t>picturebooks</w:t>
      </w:r>
      <w:proofErr w:type="spellEnd"/>
      <w:r>
        <w:rPr>
          <w:rFonts w:ascii="Times New Roman" w:eastAsia="Times New Roman" w:hAnsi="Times New Roman" w:cs="Times New Roman"/>
        </w:rPr>
        <w:t xml:space="preserve"> are a platform for a community’s art, they are Anglophone and priced astronomically for affluent readers in India and overseas. In other words, perhaps the </w:t>
      </w:r>
      <w:proofErr w:type="spellStart"/>
      <w:r>
        <w:rPr>
          <w:rFonts w:ascii="Times New Roman" w:eastAsia="Times New Roman" w:hAnsi="Times New Roman" w:cs="Times New Roman"/>
        </w:rPr>
        <w:t>picturebook</w:t>
      </w:r>
      <w:proofErr w:type="spellEnd"/>
      <w:r>
        <w:rPr>
          <w:rFonts w:ascii="Times New Roman" w:eastAsia="Times New Roman" w:hAnsi="Times New Roman" w:cs="Times New Roman"/>
        </w:rPr>
        <w:t xml:space="preserve"> packages </w:t>
      </w:r>
      <w:proofErr w:type="spellStart"/>
      <w:r>
        <w:rPr>
          <w:rFonts w:ascii="Times New Roman" w:eastAsia="Times New Roman" w:hAnsi="Times New Roman" w:cs="Times New Roman"/>
        </w:rPr>
        <w:t>Adivasihood</w:t>
      </w:r>
      <w:proofErr w:type="spellEnd"/>
      <w:r>
        <w:rPr>
          <w:rFonts w:ascii="Times New Roman" w:eastAsia="Times New Roman" w:hAnsi="Times New Roman" w:cs="Times New Roman"/>
        </w:rPr>
        <w:t xml:space="preserve"> (Asoka Kumar Sen) in hard-bound glossy paper. Given this complexity, I wish to ask who creates </w:t>
      </w:r>
      <w:r>
        <w:rPr>
          <w:rFonts w:ascii="Times New Roman" w:eastAsia="Times New Roman" w:hAnsi="Times New Roman" w:cs="Times New Roman"/>
          <w:i/>
        </w:rPr>
        <w:t>Creation</w:t>
      </w:r>
      <w:r>
        <w:rPr>
          <w:rFonts w:ascii="Times New Roman" w:eastAsia="Times New Roman" w:hAnsi="Times New Roman" w:cs="Times New Roman"/>
        </w:rPr>
        <w:t xml:space="preserve"> and why. Is collaboration an eternally fraught appropriation that activates Indigenous creator and elite collaborator in pre-determined roles? If so, does this coalition place the burden of assertion upon the Adivasi, in the last instance? I argue that the artist nevertheless finds a way to assert himself/herself.</w:t>
      </w:r>
    </w:p>
    <w:p w14:paraId="1C7CBA5F" w14:textId="77777777" w:rsidR="003934E1" w:rsidRDefault="003934E1">
      <w:pPr>
        <w:spacing w:after="160" w:line="259" w:lineRule="auto"/>
        <w:rPr>
          <w:rFonts w:ascii="Times New Roman" w:eastAsia="Times New Roman" w:hAnsi="Times New Roman" w:cs="Times New Roman"/>
        </w:rPr>
      </w:pPr>
    </w:p>
    <w:p w14:paraId="780681E9" w14:textId="77777777" w:rsidR="003934E1" w:rsidRDefault="00000000">
      <w:pPr>
        <w:widowControl w:val="0"/>
        <w:spacing w:before="79" w:line="276" w:lineRule="auto"/>
        <w:ind w:left="440" w:right="114"/>
        <w:jc w:val="both"/>
        <w:rPr>
          <w:rFonts w:ascii="Times New Roman" w:eastAsia="Times New Roman" w:hAnsi="Times New Roman" w:cs="Times New Roman"/>
          <w:b/>
        </w:rPr>
      </w:pPr>
      <w:r>
        <w:rPr>
          <w:rFonts w:ascii="Times New Roman" w:eastAsia="Times New Roman" w:hAnsi="Times New Roman" w:cs="Times New Roman"/>
          <w:b/>
        </w:rPr>
        <w:t xml:space="preserve">Collaboration and/or Appropriation: Adivasi Art in the Anglophone </w:t>
      </w:r>
      <w:proofErr w:type="spellStart"/>
      <w:r>
        <w:rPr>
          <w:rFonts w:ascii="Times New Roman" w:eastAsia="Times New Roman" w:hAnsi="Times New Roman" w:cs="Times New Roman"/>
          <w:b/>
        </w:rPr>
        <w:t>Picturebook</w:t>
      </w:r>
      <w:proofErr w:type="spellEnd"/>
    </w:p>
    <w:p w14:paraId="2CB2B8B6" w14:textId="77777777" w:rsidR="003934E1" w:rsidRDefault="003934E1">
      <w:pPr>
        <w:widowControl w:val="0"/>
        <w:spacing w:line="480" w:lineRule="auto"/>
        <w:ind w:left="440" w:right="115" w:firstLine="720"/>
        <w:jc w:val="both"/>
        <w:rPr>
          <w:rFonts w:ascii="Times New Roman" w:eastAsia="Times New Roman" w:hAnsi="Times New Roman" w:cs="Times New Roman"/>
        </w:rPr>
      </w:pPr>
    </w:p>
    <w:p w14:paraId="5F64FBB3" w14:textId="77777777" w:rsidR="003934E1" w:rsidRDefault="00000000">
      <w:pPr>
        <w:widowControl w:val="0"/>
        <w:spacing w:before="1" w:line="480" w:lineRule="auto"/>
        <w:ind w:left="440" w:right="117" w:firstLine="720"/>
        <w:jc w:val="both"/>
        <w:rPr>
          <w:rFonts w:ascii="Times New Roman" w:eastAsia="Times New Roman" w:hAnsi="Times New Roman" w:cs="Times New Roman"/>
        </w:rPr>
      </w:pPr>
      <w:proofErr w:type="spellStart"/>
      <w:r>
        <w:rPr>
          <w:rFonts w:ascii="Times New Roman" w:eastAsia="Times New Roman" w:hAnsi="Times New Roman" w:cs="Times New Roman"/>
        </w:rPr>
        <w:t>Jangarh</w:t>
      </w:r>
      <w:proofErr w:type="spellEnd"/>
      <w:r>
        <w:rPr>
          <w:rFonts w:ascii="Times New Roman" w:eastAsia="Times New Roman" w:hAnsi="Times New Roman" w:cs="Times New Roman"/>
        </w:rPr>
        <w:t xml:space="preserve"> Singh Shyam collaborated with the Indian modernist painter J Swaminathan and crafted the idiom of “Gond painting”. The Gonds, numbering roughly 11 million, are one of India’s largest Indigenous communities, and the </w:t>
      </w:r>
      <w:proofErr w:type="spellStart"/>
      <w:r>
        <w:rPr>
          <w:rFonts w:ascii="Times New Roman" w:eastAsia="Times New Roman" w:hAnsi="Times New Roman" w:cs="Times New Roman"/>
        </w:rPr>
        <w:t>Pardhans</w:t>
      </w:r>
      <w:proofErr w:type="spellEnd"/>
      <w:r>
        <w:rPr>
          <w:rFonts w:ascii="Times New Roman" w:eastAsia="Times New Roman" w:hAnsi="Times New Roman" w:cs="Times New Roman"/>
        </w:rPr>
        <w:t xml:space="preserve"> have been the ritual oral storytellers of the Gonds. They sing the lore of the community and play the sacred instrument called </w:t>
      </w:r>
      <w:proofErr w:type="spellStart"/>
      <w:r>
        <w:rPr>
          <w:rFonts w:ascii="Times New Roman" w:eastAsia="Times New Roman" w:hAnsi="Times New Roman" w:cs="Times New Roman"/>
          <w:i/>
        </w:rPr>
        <w:t>bana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Jangarh</w:t>
      </w:r>
      <w:proofErr w:type="spellEnd"/>
      <w:r>
        <w:rPr>
          <w:rFonts w:ascii="Times New Roman" w:eastAsia="Times New Roman" w:hAnsi="Times New Roman" w:cs="Times New Roman"/>
        </w:rPr>
        <w:t xml:space="preserve"> Singh Shyam crafted the form called “Gond painting”, which itself developed out of traditional songs, murals, and artistic encounters at Bharat Bhawan, an arts </w:t>
      </w:r>
      <w:proofErr w:type="spellStart"/>
      <w:r>
        <w:rPr>
          <w:rFonts w:ascii="Times New Roman" w:eastAsia="Times New Roman" w:hAnsi="Times New Roman" w:cs="Times New Roman"/>
        </w:rPr>
        <w:t>center</w:t>
      </w:r>
      <w:proofErr w:type="spellEnd"/>
      <w:r>
        <w:rPr>
          <w:rFonts w:ascii="Times New Roman" w:eastAsia="Times New Roman" w:hAnsi="Times New Roman" w:cs="Times New Roman"/>
        </w:rPr>
        <w:t xml:space="preserve"> in Bhopal, in the state of Madhya Pradesh. The artform consequently moved to oils on canvas and is now prominently displayed in museums and via </w:t>
      </w:r>
      <w:proofErr w:type="spellStart"/>
      <w:r>
        <w:rPr>
          <w:rFonts w:ascii="Times New Roman" w:eastAsia="Times New Roman" w:hAnsi="Times New Roman" w:cs="Times New Roman"/>
        </w:rPr>
        <w:t>picturebooks</w:t>
      </w:r>
      <w:proofErr w:type="spellEnd"/>
      <w:r>
        <w:rPr>
          <w:rFonts w:ascii="Times New Roman" w:eastAsia="Times New Roman" w:hAnsi="Times New Roman" w:cs="Times New Roman"/>
        </w:rPr>
        <w:t xml:space="preserve"> and graphic narratives. This paper discusses one such </w:t>
      </w:r>
      <w:proofErr w:type="spellStart"/>
      <w:r>
        <w:rPr>
          <w:rFonts w:ascii="Times New Roman" w:eastAsia="Times New Roman" w:hAnsi="Times New Roman" w:cs="Times New Roman"/>
        </w:rPr>
        <w:t>picturebook</w:t>
      </w:r>
      <w:proofErr w:type="spellEnd"/>
      <w:r>
        <w:rPr>
          <w:rFonts w:ascii="Times New Roman" w:eastAsia="Times New Roman" w:hAnsi="Times New Roman" w:cs="Times New Roman"/>
        </w:rPr>
        <w:t xml:space="preserve">, </w:t>
      </w:r>
      <w:r>
        <w:rPr>
          <w:rFonts w:ascii="Times New Roman" w:eastAsia="Times New Roman" w:hAnsi="Times New Roman" w:cs="Times New Roman"/>
          <w:i/>
        </w:rPr>
        <w:t>Creation</w:t>
      </w:r>
      <w:r>
        <w:rPr>
          <w:rFonts w:ascii="Times New Roman" w:eastAsia="Times New Roman" w:hAnsi="Times New Roman" w:cs="Times New Roman"/>
        </w:rPr>
        <w:t xml:space="preserve">, published in 2014. </w:t>
      </w:r>
      <w:proofErr w:type="spellStart"/>
      <w:r>
        <w:rPr>
          <w:rFonts w:ascii="Times New Roman" w:eastAsia="Times New Roman" w:hAnsi="Times New Roman" w:cs="Times New Roman"/>
        </w:rPr>
        <w:t>Bhajju</w:t>
      </w:r>
      <w:proofErr w:type="spellEnd"/>
      <w:r>
        <w:rPr>
          <w:rFonts w:ascii="Times New Roman" w:eastAsia="Times New Roman" w:hAnsi="Times New Roman" w:cs="Times New Roman"/>
        </w:rPr>
        <w:t xml:space="preserve"> Shyam, the nephew of </w:t>
      </w:r>
      <w:proofErr w:type="spellStart"/>
      <w:r>
        <w:rPr>
          <w:rFonts w:ascii="Times New Roman" w:eastAsia="Times New Roman" w:hAnsi="Times New Roman" w:cs="Times New Roman"/>
        </w:rPr>
        <w:t>Jangarh</w:t>
      </w:r>
      <w:proofErr w:type="spellEnd"/>
      <w:r>
        <w:rPr>
          <w:rFonts w:ascii="Times New Roman" w:eastAsia="Times New Roman" w:hAnsi="Times New Roman" w:cs="Times New Roman"/>
        </w:rPr>
        <w:t xml:space="preserve"> Singh Shyam, has illustrated the book and provided the text, and Gita Wolf from Tara Books has translated, edited, and published </w:t>
      </w:r>
      <w:r>
        <w:rPr>
          <w:rFonts w:ascii="Times New Roman" w:eastAsia="Times New Roman" w:hAnsi="Times New Roman" w:cs="Times New Roman"/>
          <w:i/>
        </w:rPr>
        <w:t>Creation</w:t>
      </w:r>
      <w:r>
        <w:rPr>
          <w:rFonts w:ascii="Times New Roman" w:eastAsia="Times New Roman" w:hAnsi="Times New Roman" w:cs="Times New Roman"/>
        </w:rPr>
        <w:t xml:space="preserve">. Tara Books is an alternative independent publisher that intentionally collaborates with folk and Adivasi artists. Each </w:t>
      </w:r>
      <w:proofErr w:type="spellStart"/>
      <w:r>
        <w:rPr>
          <w:rFonts w:ascii="Times New Roman" w:eastAsia="Times New Roman" w:hAnsi="Times New Roman" w:cs="Times New Roman"/>
        </w:rPr>
        <w:t>doublespread</w:t>
      </w:r>
      <w:proofErr w:type="spellEnd"/>
      <w:r>
        <w:rPr>
          <w:rFonts w:ascii="Times New Roman" w:eastAsia="Times New Roman" w:hAnsi="Times New Roman" w:cs="Times New Roman"/>
        </w:rPr>
        <w:t xml:space="preserve"> in </w:t>
      </w:r>
      <w:r>
        <w:rPr>
          <w:rFonts w:ascii="Times New Roman" w:eastAsia="Times New Roman" w:hAnsi="Times New Roman" w:cs="Times New Roman"/>
          <w:i/>
        </w:rPr>
        <w:t>Creation</w:t>
      </w:r>
      <w:r>
        <w:rPr>
          <w:rFonts w:ascii="Times New Roman" w:eastAsia="Times New Roman" w:hAnsi="Times New Roman" w:cs="Times New Roman"/>
        </w:rPr>
        <w:t xml:space="preserve"> narrates one creation story from the Gond community’s repertoire. Superficially, the </w:t>
      </w:r>
      <w:proofErr w:type="spellStart"/>
      <w:r>
        <w:rPr>
          <w:rFonts w:ascii="Times New Roman" w:eastAsia="Times New Roman" w:hAnsi="Times New Roman" w:cs="Times New Roman"/>
        </w:rPr>
        <w:t>picturebook</w:t>
      </w:r>
      <w:proofErr w:type="spellEnd"/>
      <w:r>
        <w:rPr>
          <w:rFonts w:ascii="Times New Roman" w:eastAsia="Times New Roman" w:hAnsi="Times New Roman" w:cs="Times New Roman"/>
        </w:rPr>
        <w:t xml:space="preserve"> is a stellar instance of Adivasi self-expression facilitated by a well-meaning upper class ally. It satisfies Gayatri C Spivak’s two-pronged 1988, “Can the subaltern speak? What must the elite do to watch out for the continuing construction of the subaltern?”. For example, in a chapter called “The Unborn Fish”, </w:t>
      </w:r>
      <w:proofErr w:type="spellStart"/>
      <w:r>
        <w:rPr>
          <w:rFonts w:ascii="Times New Roman" w:eastAsia="Times New Roman" w:hAnsi="Times New Roman" w:cs="Times New Roman"/>
        </w:rPr>
        <w:t>Bhajju</w:t>
      </w:r>
      <w:proofErr w:type="spellEnd"/>
      <w:r>
        <w:rPr>
          <w:rFonts w:ascii="Times New Roman" w:eastAsia="Times New Roman" w:hAnsi="Times New Roman" w:cs="Times New Roman"/>
        </w:rPr>
        <w:t xml:space="preserve"> Shyam uses the phrase “fish-shaped emptiness” to describe a foetal fish. The shape of the curved fish is reminiscent of a mahua pot that distils indigenous liquor and that has been criminalized. Here </w:t>
      </w:r>
      <w:proofErr w:type="spellStart"/>
      <w:r>
        <w:rPr>
          <w:rFonts w:ascii="Times New Roman" w:eastAsia="Times New Roman" w:hAnsi="Times New Roman" w:cs="Times New Roman"/>
        </w:rPr>
        <w:t>Bhajju</w:t>
      </w:r>
      <w:proofErr w:type="spellEnd"/>
      <w:r>
        <w:rPr>
          <w:rFonts w:ascii="Times New Roman" w:eastAsia="Times New Roman" w:hAnsi="Times New Roman" w:cs="Times New Roman"/>
        </w:rPr>
        <w:t xml:space="preserve"> Shyam is illustrating a Gond myth and making a claim to joy and vitality in Mahua production. The Indigenous subaltern is creating and the elite publisher is enabling. I will return to this fish at the end.</w:t>
      </w:r>
    </w:p>
    <w:p w14:paraId="4018FD36" w14:textId="77777777" w:rsidR="003934E1" w:rsidRDefault="00000000">
      <w:pPr>
        <w:widowControl w:val="0"/>
        <w:spacing w:before="1" w:line="480" w:lineRule="auto"/>
        <w:ind w:left="440" w:right="117" w:firstLine="720"/>
        <w:jc w:val="both"/>
        <w:rPr>
          <w:rFonts w:ascii="Times New Roman" w:eastAsia="Times New Roman" w:hAnsi="Times New Roman" w:cs="Times New Roman"/>
        </w:rPr>
      </w:pPr>
      <w:r>
        <w:rPr>
          <w:rFonts w:ascii="Times New Roman" w:eastAsia="Times New Roman" w:hAnsi="Times New Roman" w:cs="Times New Roman"/>
        </w:rPr>
        <w:t xml:space="preserve">However, as a product, </w:t>
      </w:r>
      <w:r>
        <w:rPr>
          <w:rFonts w:ascii="Times New Roman" w:eastAsia="Times New Roman" w:hAnsi="Times New Roman" w:cs="Times New Roman"/>
          <w:i/>
        </w:rPr>
        <w:t xml:space="preserve">Creation </w:t>
      </w:r>
      <w:r>
        <w:rPr>
          <w:rFonts w:ascii="Times New Roman" w:eastAsia="Times New Roman" w:hAnsi="Times New Roman" w:cs="Times New Roman"/>
        </w:rPr>
        <w:t xml:space="preserve">is slim and solid to touch. The price of the </w:t>
      </w:r>
      <w:proofErr w:type="spellStart"/>
      <w:r>
        <w:rPr>
          <w:rFonts w:ascii="Times New Roman" w:eastAsia="Times New Roman" w:hAnsi="Times New Roman" w:cs="Times New Roman"/>
        </w:rPr>
        <w:lastRenderedPageBreak/>
        <w:t>picturebook</w:t>
      </w:r>
      <w:proofErr w:type="spellEnd"/>
      <w:r>
        <w:rPr>
          <w:rFonts w:ascii="Times New Roman" w:eastAsia="Times New Roman" w:hAnsi="Times New Roman" w:cs="Times New Roman"/>
        </w:rPr>
        <w:t xml:space="preserve"> is commensurate with the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and quality of materials that are used for printing. The price mentioned is “USD 49.95/INR 1500”. Both these numbers are forbidding- a book that costs 50 US Dollars (USD) is expensive in the United States, while 1500 Indian Rupees (INR) is an astronomical sum to pay for a “</w:t>
      </w:r>
      <w:proofErr w:type="spellStart"/>
      <w:r>
        <w:rPr>
          <w:rFonts w:ascii="Times New Roman" w:eastAsia="Times New Roman" w:hAnsi="Times New Roman" w:cs="Times New Roman"/>
        </w:rPr>
        <w:t>picturebook</w:t>
      </w:r>
      <w:proofErr w:type="spellEnd"/>
      <w:r>
        <w:rPr>
          <w:rFonts w:ascii="Times New Roman" w:eastAsia="Times New Roman" w:hAnsi="Times New Roman" w:cs="Times New Roman"/>
        </w:rPr>
        <w:t xml:space="preserve">”. Tara prices their products exorbitantly and their clientele is restricted to monied urban Indian metropolises and overseas Indians. Not just Tara, Gond painting is now available on t shirts, café décor, bookmarks, bags, wall art for railway stations, tourism advertisements etc. Such a proliferation makes one pause and ask- while collaboration enables a platform for Adivasi art and artist, is it possible that it negatively impacts the meaning of the artwork and encourages commodification? Scholars have taken this question up in varied ways- Annapurna Garimella, Roma Chatterji, John Bowles, Swaminathan, Jain, Saloni Mathur will write about the “cult of the craftsman”, Amita </w:t>
      </w:r>
      <w:proofErr w:type="spellStart"/>
      <w:r>
        <w:rPr>
          <w:rFonts w:ascii="Times New Roman" w:eastAsia="Times New Roman" w:hAnsi="Times New Roman" w:cs="Times New Roman"/>
        </w:rPr>
        <w:t>Baviskar</w:t>
      </w:r>
      <w:proofErr w:type="spellEnd"/>
      <w:r>
        <w:rPr>
          <w:rFonts w:ascii="Times New Roman" w:eastAsia="Times New Roman" w:hAnsi="Times New Roman" w:cs="Times New Roman"/>
        </w:rPr>
        <w:t>, Sangeeta Dasgupta. One response is to say that agency is extricated out of the art and that the artwork is marionetted by larger social and market forces. Another is to argue that the artist self-consciously manages a subjection to the market. I argue that the artist organizes himself and his art to conform or not, upon his own terms.</w:t>
      </w:r>
    </w:p>
    <w:p w14:paraId="19B6CBC6" w14:textId="77777777" w:rsidR="003934E1" w:rsidRDefault="00000000">
      <w:pPr>
        <w:widowControl w:val="0"/>
        <w:spacing w:before="1" w:line="480" w:lineRule="auto"/>
        <w:ind w:left="440" w:right="115" w:firstLine="720"/>
        <w:jc w:val="both"/>
        <w:rPr>
          <w:rFonts w:ascii="Times New Roman" w:eastAsia="Times New Roman" w:hAnsi="Times New Roman" w:cs="Times New Roman"/>
        </w:rPr>
      </w:pPr>
      <w:r>
        <w:rPr>
          <w:rFonts w:ascii="Times New Roman" w:eastAsia="Times New Roman" w:hAnsi="Times New Roman" w:cs="Times New Roman"/>
        </w:rPr>
        <w:t xml:space="preserve">Indeed, a willing subjection is even more stark when another collaboration is considered- between Indigenous artist and billionaire capitalist. The allies at Tara Books move in cultural capital and some wealth, but Gautam Adani, the billionaire industrialist who initiated a collaboration between </w:t>
      </w:r>
      <w:proofErr w:type="spellStart"/>
      <w:r>
        <w:rPr>
          <w:rFonts w:ascii="Times New Roman" w:eastAsia="Times New Roman" w:hAnsi="Times New Roman" w:cs="Times New Roman"/>
        </w:rPr>
        <w:t>Bhajju</w:t>
      </w:r>
      <w:proofErr w:type="spellEnd"/>
      <w:r>
        <w:rPr>
          <w:rFonts w:ascii="Times New Roman" w:eastAsia="Times New Roman" w:hAnsi="Times New Roman" w:cs="Times New Roman"/>
        </w:rPr>
        <w:t xml:space="preserve"> Shyam and Warlpiri Australian artists in 2019 for an installation at his Ahmedabad headquarters moves in immense financial capital: about $82 </w:t>
      </w:r>
      <w:proofErr w:type="spellStart"/>
      <w:r>
        <w:rPr>
          <w:rFonts w:ascii="Times New Roman" w:eastAsia="Times New Roman" w:hAnsi="Times New Roman" w:cs="Times New Roman"/>
        </w:rPr>
        <w:t>billion</w:t>
      </w:r>
      <w:proofErr w:type="spellEnd"/>
      <w:r>
        <w:rPr>
          <w:rFonts w:ascii="Times New Roman" w:eastAsia="Times New Roman" w:hAnsi="Times New Roman" w:cs="Times New Roman"/>
        </w:rPr>
        <w:t xml:space="preserve"> of capital. </w:t>
      </w:r>
      <w:r>
        <w:rPr>
          <w:rFonts w:ascii="Times New Roman" w:eastAsia="Times New Roman" w:hAnsi="Times New Roman" w:cs="Times New Roman"/>
          <w:i/>
        </w:rPr>
        <w:t xml:space="preserve">Architectandinteriorindia.com </w:t>
      </w:r>
      <w:r>
        <w:rPr>
          <w:rFonts w:ascii="Times New Roman" w:eastAsia="Times New Roman" w:hAnsi="Times New Roman" w:cs="Times New Roman"/>
        </w:rPr>
        <w:t xml:space="preserve">reports that the </w:t>
      </w:r>
      <w:proofErr w:type="spellStart"/>
      <w:r>
        <w:rPr>
          <w:rFonts w:ascii="Times New Roman" w:eastAsia="Times New Roman" w:hAnsi="Times New Roman" w:cs="Times New Roman"/>
        </w:rPr>
        <w:t>Pardhan</w:t>
      </w:r>
      <w:proofErr w:type="spellEnd"/>
      <w:r>
        <w:rPr>
          <w:rFonts w:ascii="Times New Roman" w:eastAsia="Times New Roman" w:hAnsi="Times New Roman" w:cs="Times New Roman"/>
        </w:rPr>
        <w:t xml:space="preserve"> Gond artist and the Warlpiri artists </w:t>
      </w:r>
      <w:r>
        <w:rPr>
          <w:rFonts w:ascii="Times New Roman" w:eastAsia="Times New Roman" w:hAnsi="Times New Roman" w:cs="Times New Roman"/>
          <w:color w:val="111111"/>
        </w:rPr>
        <w:t xml:space="preserve">worked with curator and scenographer Rajeev Sethi’s sculpture of spirals placed at the Adani headquarters. Apparently, the artists “devised intimate signatures on Sethi’s sculpture evoking a kinetic spiral that coils </w:t>
      </w:r>
      <w:r>
        <w:rPr>
          <w:rFonts w:ascii="Times New Roman" w:eastAsia="Times New Roman" w:hAnsi="Times New Roman" w:cs="Times New Roman"/>
          <w:color w:val="111111"/>
        </w:rPr>
        <w:lastRenderedPageBreak/>
        <w:t xml:space="preserve">and uncoils on itself”. The report also quotes </w:t>
      </w:r>
      <w:r>
        <w:rPr>
          <w:rFonts w:ascii="Times New Roman" w:eastAsia="Times New Roman" w:hAnsi="Times New Roman" w:cs="Times New Roman"/>
        </w:rPr>
        <w:t xml:space="preserve">Gautam Adani as saying that he “did not expect to learn so much about Gondwana the 550 </w:t>
      </w:r>
      <w:proofErr w:type="spellStart"/>
      <w:r>
        <w:rPr>
          <w:rFonts w:ascii="Times New Roman" w:eastAsia="Times New Roman" w:hAnsi="Times New Roman" w:cs="Times New Roman"/>
        </w:rPr>
        <w:t>mn</w:t>
      </w:r>
      <w:proofErr w:type="spellEnd"/>
      <w:r>
        <w:rPr>
          <w:rFonts w:ascii="Times New Roman" w:eastAsia="Times New Roman" w:hAnsi="Times New Roman" w:cs="Times New Roman"/>
        </w:rPr>
        <w:t xml:space="preserve"> year old supercontinent through stories curated by Australian Aboriginal and Indian Gond artists” (“Gond and Aboriginal Art”). But the story is not that of mere well- meaning patronage. Journalist Abir Dasgupta, in a detailed investigation, offers a converse to Adani’s celebration of artistic confluence. Dasgupta reports that Adani has been influential in slowly infiltrating Adivasi life to expropriate land for coal mining in Eastern India, as well as in Australia. Dasgupta writes, “When “art meets business” in Adani’s case, it can only highlight the way in which genuine creativity and cross-cultural engagement is bought and paid for to mask the corporate conglomerate’s damaging dealings with Indigenous and traditional communities” (“Adani Group”). </w:t>
      </w:r>
    </w:p>
    <w:p w14:paraId="14B42587" w14:textId="77777777" w:rsidR="003934E1" w:rsidRDefault="00000000">
      <w:pPr>
        <w:widowControl w:val="0"/>
        <w:spacing w:before="1" w:line="480" w:lineRule="auto"/>
        <w:ind w:left="440" w:right="114" w:firstLine="720"/>
        <w:jc w:val="both"/>
        <w:rPr>
          <w:rFonts w:ascii="Times New Roman" w:eastAsia="Times New Roman" w:hAnsi="Times New Roman" w:cs="Times New Roman"/>
        </w:rPr>
      </w:pPr>
      <w:r>
        <w:rPr>
          <w:rFonts w:ascii="Times New Roman" w:eastAsia="Times New Roman" w:hAnsi="Times New Roman" w:cs="Times New Roman"/>
        </w:rPr>
        <w:t xml:space="preserve">But the artist strategizes. </w:t>
      </w:r>
      <w:proofErr w:type="spellStart"/>
      <w:r>
        <w:rPr>
          <w:rFonts w:ascii="Times New Roman" w:eastAsia="Times New Roman" w:hAnsi="Times New Roman" w:cs="Times New Roman"/>
        </w:rPr>
        <w:t>Bhajju</w:t>
      </w:r>
      <w:proofErr w:type="spellEnd"/>
      <w:r>
        <w:rPr>
          <w:rFonts w:ascii="Times New Roman" w:eastAsia="Times New Roman" w:hAnsi="Times New Roman" w:cs="Times New Roman"/>
        </w:rPr>
        <w:t xml:space="preserve"> Shyam, for instance, is continually invited to exhibit at international art events. He has been awarded the Padma Shri- the fourth highest civilian award in India- by Mr. Narendra Modi, the current Prime Minister of India. He speaks for himself and tactically uses examples like </w:t>
      </w:r>
      <w:r>
        <w:rPr>
          <w:rFonts w:ascii="Times New Roman" w:eastAsia="Times New Roman" w:hAnsi="Times New Roman" w:cs="Times New Roman"/>
          <w:i/>
        </w:rPr>
        <w:t xml:space="preserve">Creation </w:t>
      </w:r>
      <w:r>
        <w:rPr>
          <w:rFonts w:ascii="Times New Roman" w:eastAsia="Times New Roman" w:hAnsi="Times New Roman" w:cs="Times New Roman"/>
        </w:rPr>
        <w:t xml:space="preserve">to tell his story. Speaking to me about how </w:t>
      </w:r>
      <w:proofErr w:type="spellStart"/>
      <w:r>
        <w:rPr>
          <w:rFonts w:ascii="Times New Roman" w:eastAsia="Times New Roman" w:hAnsi="Times New Roman" w:cs="Times New Roman"/>
        </w:rPr>
        <w:t>Pardhan</w:t>
      </w:r>
      <w:proofErr w:type="spellEnd"/>
      <w:r>
        <w:rPr>
          <w:rFonts w:ascii="Times New Roman" w:eastAsia="Times New Roman" w:hAnsi="Times New Roman" w:cs="Times New Roman"/>
        </w:rPr>
        <w:t xml:space="preserve"> Gond art had now become a “</w:t>
      </w:r>
      <w:proofErr w:type="spellStart"/>
      <w:r>
        <w:rPr>
          <w:rFonts w:ascii="Times New Roman" w:eastAsia="Times New Roman" w:hAnsi="Times New Roman" w:cs="Times New Roman"/>
        </w:rPr>
        <w:t>jeeney</w:t>
      </w:r>
      <w:proofErr w:type="spellEnd"/>
      <w:r>
        <w:rPr>
          <w:rFonts w:ascii="Times New Roman" w:eastAsia="Times New Roman" w:hAnsi="Times New Roman" w:cs="Times New Roman"/>
        </w:rPr>
        <w:t xml:space="preserve"> ka </w:t>
      </w:r>
      <w:proofErr w:type="spellStart"/>
      <w:r>
        <w:rPr>
          <w:rFonts w:ascii="Times New Roman" w:eastAsia="Times New Roman" w:hAnsi="Times New Roman" w:cs="Times New Roman"/>
        </w:rPr>
        <w:t>zariya</w:t>
      </w:r>
      <w:proofErr w:type="spellEnd"/>
      <w:r>
        <w:rPr>
          <w:rFonts w:ascii="Times New Roman" w:eastAsia="Times New Roman" w:hAnsi="Times New Roman" w:cs="Times New Roman"/>
        </w:rPr>
        <w:t xml:space="preserve">”, an “instrument of livelihood”, he said he had to create “ped, </w:t>
      </w:r>
      <w:proofErr w:type="spellStart"/>
      <w:r>
        <w:rPr>
          <w:rFonts w:ascii="Times New Roman" w:eastAsia="Times New Roman" w:hAnsi="Times New Roman" w:cs="Times New Roman"/>
        </w:rPr>
        <w:t>paudhe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pakshi</w:t>
      </w:r>
      <w:proofErr w:type="spellEnd"/>
      <w:r>
        <w:rPr>
          <w:rFonts w:ascii="Times New Roman" w:eastAsia="Times New Roman" w:hAnsi="Times New Roman" w:cs="Times New Roman"/>
        </w:rPr>
        <w:t xml:space="preserve">”, trees, plants, birds, which are now essential elements of any Gond artwork. </w:t>
      </w:r>
      <w:proofErr w:type="spellStart"/>
      <w:r>
        <w:rPr>
          <w:rFonts w:ascii="Times New Roman" w:eastAsia="Times New Roman" w:hAnsi="Times New Roman" w:cs="Times New Roman"/>
        </w:rPr>
        <w:t>Bhajju</w:t>
      </w:r>
      <w:proofErr w:type="spellEnd"/>
      <w:r>
        <w:rPr>
          <w:rFonts w:ascii="Times New Roman" w:eastAsia="Times New Roman" w:hAnsi="Times New Roman" w:cs="Times New Roman"/>
        </w:rPr>
        <w:t xml:space="preserve"> Shyam had qualified this accession to “essential” Adivasi art as “</w:t>
      </w:r>
      <w:proofErr w:type="spellStart"/>
      <w:r>
        <w:rPr>
          <w:rFonts w:ascii="Times New Roman" w:eastAsia="Times New Roman" w:hAnsi="Times New Roman" w:cs="Times New Roman"/>
        </w:rPr>
        <w:t>karna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padta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hai</w:t>
      </w:r>
      <w:proofErr w:type="spellEnd"/>
      <w:r>
        <w:rPr>
          <w:rFonts w:ascii="Times New Roman" w:eastAsia="Times New Roman" w:hAnsi="Times New Roman" w:cs="Times New Roman"/>
        </w:rPr>
        <w:t>”, or “one must do it”. I detect a kernel of defiance in his words. The “it” could refer to the pressure of stereotyped art, but also the pressure of being an Adivasi artist in 21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century India, or indeed the pressure of performing </w:t>
      </w:r>
      <w:proofErr w:type="spellStart"/>
      <w:r>
        <w:rPr>
          <w:rFonts w:ascii="Times New Roman" w:eastAsia="Times New Roman" w:hAnsi="Times New Roman" w:cs="Times New Roman"/>
        </w:rPr>
        <w:t>Adivasihood</w:t>
      </w:r>
      <w:proofErr w:type="spellEnd"/>
      <w:r>
        <w:rPr>
          <w:rFonts w:ascii="Times New Roman" w:eastAsia="Times New Roman" w:hAnsi="Times New Roman" w:cs="Times New Roman"/>
        </w:rPr>
        <w:t xml:space="preserve"> (Ashoka Kumar Sen) or indigeneity via sundry collaborations. </w:t>
      </w:r>
      <w:proofErr w:type="spellStart"/>
      <w:r>
        <w:rPr>
          <w:rFonts w:ascii="Times New Roman" w:eastAsia="Times New Roman" w:hAnsi="Times New Roman" w:cs="Times New Roman"/>
        </w:rPr>
        <w:t>Bhajju</w:t>
      </w:r>
      <w:proofErr w:type="spellEnd"/>
      <w:r>
        <w:rPr>
          <w:rFonts w:ascii="Times New Roman" w:eastAsia="Times New Roman" w:hAnsi="Times New Roman" w:cs="Times New Roman"/>
        </w:rPr>
        <w:t xml:space="preserve"> Shyam implicitly alludes to the pressure of appearing to accede to a willing subjection. This is similar to the defiance I have read in </w:t>
      </w:r>
      <w:r>
        <w:rPr>
          <w:rFonts w:ascii="Times New Roman" w:eastAsia="Times New Roman" w:hAnsi="Times New Roman" w:cs="Times New Roman"/>
          <w:i/>
        </w:rPr>
        <w:t>Creation</w:t>
      </w:r>
      <w:r>
        <w:rPr>
          <w:rFonts w:ascii="Times New Roman" w:eastAsia="Times New Roman" w:hAnsi="Times New Roman" w:cs="Times New Roman"/>
        </w:rPr>
        <w:t xml:space="preserve">. Like </w:t>
      </w:r>
      <w:proofErr w:type="spellStart"/>
      <w:r>
        <w:rPr>
          <w:rFonts w:ascii="Times New Roman" w:eastAsia="Times New Roman" w:hAnsi="Times New Roman" w:cs="Times New Roman"/>
        </w:rPr>
        <w:t>Bhajju</w:t>
      </w:r>
      <w:proofErr w:type="spellEnd"/>
      <w:r>
        <w:rPr>
          <w:rFonts w:ascii="Times New Roman" w:eastAsia="Times New Roman" w:hAnsi="Times New Roman" w:cs="Times New Roman"/>
        </w:rPr>
        <w:t xml:space="preserve"> Shyam re-creates a Gond origin myth to obliquely refer to historical stigma </w:t>
      </w:r>
      <w:r>
        <w:rPr>
          <w:rFonts w:ascii="Times New Roman" w:eastAsia="Times New Roman" w:hAnsi="Times New Roman" w:cs="Times New Roman"/>
        </w:rPr>
        <w:lastRenderedPageBreak/>
        <w:t xml:space="preserve">of criminality and association with Mahua liquor, his words create a doubled position- doing what must be done, but also distant from what must be done. Indeed, like this is evident in </w:t>
      </w:r>
      <w:r>
        <w:rPr>
          <w:rFonts w:ascii="Times New Roman" w:eastAsia="Times New Roman" w:hAnsi="Times New Roman" w:cs="Times New Roman"/>
          <w:i/>
        </w:rPr>
        <w:t>Creation</w:t>
      </w:r>
      <w:r>
        <w:rPr>
          <w:rFonts w:ascii="Times New Roman" w:eastAsia="Times New Roman" w:hAnsi="Times New Roman" w:cs="Times New Roman"/>
        </w:rPr>
        <w:t xml:space="preserve">, one must read another mythical narrative in “The Unborn Fish”. </w:t>
      </w:r>
      <w:proofErr w:type="spellStart"/>
      <w:r>
        <w:rPr>
          <w:rFonts w:ascii="Times New Roman" w:eastAsia="Times New Roman" w:hAnsi="Times New Roman" w:cs="Times New Roman"/>
        </w:rPr>
        <w:t>Bhajju</w:t>
      </w:r>
      <w:proofErr w:type="spellEnd"/>
      <w:r>
        <w:rPr>
          <w:rFonts w:ascii="Times New Roman" w:eastAsia="Times New Roman" w:hAnsi="Times New Roman" w:cs="Times New Roman"/>
        </w:rPr>
        <w:t xml:space="preserve"> Shyam collaborated with billionaire Gautam Adani, despite the latter’s history of threatening Adivasi livelihood and dignity, for an art installation about the supercontinent Gondwanaland. Gondwanaland is different from the Gondwana region in India, which comprises regions with significant Gond tribal residence- parts of the states of Madhya Pradesh, Maharashtra, </w:t>
      </w:r>
      <w:proofErr w:type="spellStart"/>
      <w:r>
        <w:rPr>
          <w:rFonts w:ascii="Times New Roman" w:eastAsia="Times New Roman" w:hAnsi="Times New Roman" w:cs="Times New Roman"/>
        </w:rPr>
        <w:t>Chhatisgarh</w:t>
      </w:r>
      <w:proofErr w:type="spellEnd"/>
      <w:r>
        <w:rPr>
          <w:rFonts w:ascii="Times New Roman" w:eastAsia="Times New Roman" w:hAnsi="Times New Roman" w:cs="Times New Roman"/>
        </w:rPr>
        <w:t>, Odisha, and Andhra Pradesh. The Gondwana region in fact derives its name from the Gondi speaking Gond tribals who have populated the area.</w:t>
      </w:r>
    </w:p>
    <w:p w14:paraId="5E10612A" w14:textId="77777777" w:rsidR="003934E1" w:rsidRDefault="00000000">
      <w:pPr>
        <w:widowControl w:val="0"/>
        <w:spacing w:before="1" w:line="480" w:lineRule="auto"/>
        <w:ind w:left="440" w:right="114" w:firstLine="720"/>
        <w:jc w:val="both"/>
        <w:rPr>
          <w:rFonts w:ascii="Times New Roman" w:eastAsia="Times New Roman" w:hAnsi="Times New Roman" w:cs="Times New Roman"/>
        </w:rPr>
      </w:pPr>
      <w:r>
        <w:rPr>
          <w:rFonts w:ascii="Times New Roman" w:eastAsia="Times New Roman" w:hAnsi="Times New Roman" w:cs="Times New Roman"/>
        </w:rPr>
        <w:t xml:space="preserve">There has been a demand for separate statehood of the Gonds, and a desire to name it Gondwana in recognition of the Gonds. At least in Madhya Pradesh, Gond art has been used to usher in more tourism in its usage at airports, railway stations, and at various public parts of the state capital Bhopal, including the Vidhan Sabha (murals famously created by </w:t>
      </w:r>
      <w:proofErr w:type="spellStart"/>
      <w:r>
        <w:rPr>
          <w:rFonts w:ascii="Times New Roman" w:eastAsia="Times New Roman" w:hAnsi="Times New Roman" w:cs="Times New Roman"/>
        </w:rPr>
        <w:t>Jangarh</w:t>
      </w:r>
      <w:proofErr w:type="spellEnd"/>
      <w:r>
        <w:rPr>
          <w:rFonts w:ascii="Times New Roman" w:eastAsia="Times New Roman" w:hAnsi="Times New Roman" w:cs="Times New Roman"/>
        </w:rPr>
        <w:t xml:space="preserve"> Singh Shyam) but separate statehood has not been a prominent political issue. I believe “The Unborn Fish” that is “waiting to be born” is the unborn state of Gondwana. There is political precedent in 21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century. The state of Jharkhand was carved out in response to Adivasi demand for a self-managed region. But Gondwana remains mythical at this moment. Perhaps “The Unborn Fish” like a separate state is also waiting to be formed. In our interview, </w:t>
      </w:r>
      <w:proofErr w:type="spellStart"/>
      <w:r>
        <w:rPr>
          <w:rFonts w:ascii="Times New Roman" w:eastAsia="Times New Roman" w:hAnsi="Times New Roman" w:cs="Times New Roman"/>
        </w:rPr>
        <w:t>Bhajju</w:t>
      </w:r>
      <w:proofErr w:type="spellEnd"/>
      <w:r>
        <w:rPr>
          <w:rFonts w:ascii="Times New Roman" w:eastAsia="Times New Roman" w:hAnsi="Times New Roman" w:cs="Times New Roman"/>
        </w:rPr>
        <w:t xml:space="preserve"> Shyam referred to the Gondwana. Discussing the changes in the artform in Madhya Pradesh, he said “first it was all Gondwana, right” “Pehle </w:t>
      </w:r>
      <w:proofErr w:type="spellStart"/>
      <w:r>
        <w:rPr>
          <w:rFonts w:ascii="Times New Roman" w:eastAsia="Times New Roman" w:hAnsi="Times New Roman" w:cs="Times New Roman"/>
        </w:rPr>
        <w:t>toh</w:t>
      </w:r>
      <w:proofErr w:type="spellEnd"/>
      <w:r>
        <w:rPr>
          <w:rFonts w:ascii="Times New Roman" w:eastAsia="Times New Roman" w:hAnsi="Times New Roman" w:cs="Times New Roman"/>
        </w:rPr>
        <w:t xml:space="preserve"> yeh sab Gondwana hi </w:t>
      </w:r>
      <w:proofErr w:type="spellStart"/>
      <w:r>
        <w:rPr>
          <w:rFonts w:ascii="Times New Roman" w:eastAsia="Times New Roman" w:hAnsi="Times New Roman" w:cs="Times New Roman"/>
        </w:rPr>
        <w:t>tha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w:t>
      </w:r>
      <w:proofErr w:type="spellEnd"/>
      <w:r>
        <w:rPr>
          <w:rFonts w:ascii="Times New Roman" w:eastAsia="Times New Roman" w:hAnsi="Times New Roman" w:cs="Times New Roman"/>
        </w:rPr>
        <w:t xml:space="preserve">” (B. Shyam, Personal Interview 2022). While this proves that Shyam acknowledges Gondwana as important to his work, it does not mean that he intends “The Unborn Fish” to be a request for statehood. I am reading his work as a possible visualization of resistance, in spite of the </w:t>
      </w:r>
      <w:r>
        <w:rPr>
          <w:rFonts w:ascii="Times New Roman" w:eastAsia="Times New Roman" w:hAnsi="Times New Roman" w:cs="Times New Roman"/>
        </w:rPr>
        <w:lastRenderedPageBreak/>
        <w:t>totalizing consensual abjection that collaboration can lead us to.</w:t>
      </w:r>
    </w:p>
    <w:p w14:paraId="356C8025" w14:textId="77777777" w:rsidR="003934E1" w:rsidRDefault="00000000">
      <w:pPr>
        <w:widowControl w:val="0"/>
        <w:spacing w:before="2" w:line="480" w:lineRule="auto"/>
        <w:ind w:left="440" w:right="116" w:firstLine="720"/>
        <w:jc w:val="both"/>
        <w:rPr>
          <w:rFonts w:ascii="Times New Roman" w:eastAsia="Times New Roman" w:hAnsi="Times New Roman" w:cs="Times New Roman"/>
        </w:rPr>
      </w:pPr>
      <w:r>
        <w:rPr>
          <w:rFonts w:ascii="Times New Roman" w:eastAsia="Times New Roman" w:hAnsi="Times New Roman" w:cs="Times New Roman"/>
        </w:rPr>
        <w:t xml:space="preserve">But as I conclude, it is crucial to understand the urgency of aligning Shyam’s words with his art, and seeking layers in both. Shyam’s acknowledgement of Gondwana and its almost emphatic allusion to an axiomatic past tense- it </w:t>
      </w:r>
      <w:r>
        <w:rPr>
          <w:rFonts w:ascii="Times New Roman" w:eastAsia="Times New Roman" w:hAnsi="Times New Roman" w:cs="Times New Roman"/>
          <w:i/>
        </w:rPr>
        <w:t xml:space="preserve">was </w:t>
      </w:r>
      <w:r>
        <w:rPr>
          <w:rFonts w:ascii="Times New Roman" w:eastAsia="Times New Roman" w:hAnsi="Times New Roman" w:cs="Times New Roman"/>
        </w:rPr>
        <w:t xml:space="preserve">all Gondwana, after all- does something else. It generatively confuses the supercontinent Gondwanaland with the Gondwana territory in contemporary India. Indeed, Gautam Adani’s comment on the 2019 art installation also conflates the “Indian Gond artists” and “Australian Aboriginal artists” with the supercontinent Gondwana. Adani said he “did not expect to learn so much about Gondwana the 550 </w:t>
      </w:r>
      <w:proofErr w:type="spellStart"/>
      <w:r>
        <w:rPr>
          <w:rFonts w:ascii="Times New Roman" w:eastAsia="Times New Roman" w:hAnsi="Times New Roman" w:cs="Times New Roman"/>
        </w:rPr>
        <w:t>mn</w:t>
      </w:r>
      <w:proofErr w:type="spellEnd"/>
      <w:r>
        <w:rPr>
          <w:rFonts w:ascii="Times New Roman" w:eastAsia="Times New Roman" w:hAnsi="Times New Roman" w:cs="Times New Roman"/>
        </w:rPr>
        <w:t xml:space="preserve"> year old supercontinent through stories curated by Australian Aboriginal Indian Gond artists” (“Gond and Aboriginal Art”). But “one must do it”, despite the confusion. One must encourage the confusion. </w:t>
      </w:r>
      <w:proofErr w:type="spellStart"/>
      <w:r>
        <w:rPr>
          <w:rFonts w:ascii="Times New Roman" w:eastAsia="Times New Roman" w:hAnsi="Times New Roman" w:cs="Times New Roman"/>
        </w:rPr>
        <w:t>Bhajju</w:t>
      </w:r>
      <w:proofErr w:type="spellEnd"/>
      <w:r>
        <w:rPr>
          <w:rFonts w:ascii="Times New Roman" w:eastAsia="Times New Roman" w:hAnsi="Times New Roman" w:cs="Times New Roman"/>
        </w:rPr>
        <w:t xml:space="preserve"> Shyam makes the confusion work for him. Connecting contemporary Indian Gondwana to a supercontinent, however mythically, re-confirms indigeneity. In a time when indigeneity itself is under interrogation in the proposed difference between Adivasi and </w:t>
      </w:r>
      <w:proofErr w:type="spellStart"/>
      <w:r>
        <w:rPr>
          <w:rFonts w:ascii="Times New Roman" w:eastAsia="Times New Roman" w:hAnsi="Times New Roman" w:cs="Times New Roman"/>
        </w:rPr>
        <w:t>Vanvasi</w:t>
      </w:r>
      <w:proofErr w:type="spellEnd"/>
      <w:r>
        <w:rPr>
          <w:rFonts w:ascii="Times New Roman" w:eastAsia="Times New Roman" w:hAnsi="Times New Roman" w:cs="Times New Roman"/>
        </w:rPr>
        <w:t>, first dweller and forest dweller; harking back to an older primacy is crucial. In other words, while “The Unborn Fish” may be a reference to million year old supercontinent, it is imperative to seek a more 21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century Gondwana in the fish. It is little wonder that a political demand is stylized in the hands of the storyteller who performs an important cultural function- the narration of origin stories to invoke the blessing of the deity Bara Deo. “The Unborn Fish” is a possible origin story seeking the blessing of the powers that be and at the same time demanding literal space.</w:t>
      </w:r>
    </w:p>
    <w:p w14:paraId="1E7CD6E6" w14:textId="77777777" w:rsidR="003934E1" w:rsidRDefault="003934E1">
      <w:pPr>
        <w:widowControl w:val="0"/>
        <w:rPr>
          <w:rFonts w:ascii="Times New Roman" w:eastAsia="Times New Roman" w:hAnsi="Times New Roman" w:cs="Times New Roman"/>
          <w:sz w:val="22"/>
          <w:szCs w:val="22"/>
        </w:rPr>
      </w:pPr>
    </w:p>
    <w:p w14:paraId="364CE5A9" w14:textId="77777777" w:rsidR="003934E1" w:rsidRDefault="003934E1">
      <w:pPr>
        <w:spacing w:line="360" w:lineRule="auto"/>
        <w:jc w:val="both"/>
        <w:rPr>
          <w:rFonts w:ascii="Times New Roman" w:eastAsia="Times New Roman" w:hAnsi="Times New Roman" w:cs="Times New Roman"/>
        </w:rPr>
      </w:pPr>
    </w:p>
    <w:p w14:paraId="3F134F66" w14:textId="77777777" w:rsidR="003934E1" w:rsidRDefault="003934E1">
      <w:pPr>
        <w:spacing w:line="360" w:lineRule="auto"/>
        <w:jc w:val="both"/>
        <w:rPr>
          <w:rFonts w:ascii="Times New Roman" w:eastAsia="Times New Roman" w:hAnsi="Times New Roman" w:cs="Times New Roman"/>
        </w:rPr>
      </w:pPr>
    </w:p>
    <w:p w14:paraId="62D9CF13" w14:textId="77777777" w:rsidR="003934E1" w:rsidRDefault="003934E1">
      <w:pPr>
        <w:spacing w:line="360" w:lineRule="auto"/>
        <w:jc w:val="both"/>
        <w:rPr>
          <w:rFonts w:ascii="Times New Roman" w:eastAsia="Times New Roman" w:hAnsi="Times New Roman" w:cs="Times New Roman"/>
        </w:rPr>
      </w:pPr>
    </w:p>
    <w:p w14:paraId="58E9EFA1" w14:textId="77777777" w:rsidR="003934E1" w:rsidRDefault="003934E1">
      <w:pPr>
        <w:spacing w:line="360" w:lineRule="auto"/>
        <w:jc w:val="both"/>
        <w:rPr>
          <w:rFonts w:ascii="Times New Roman" w:eastAsia="Times New Roman" w:hAnsi="Times New Roman" w:cs="Times New Roman"/>
        </w:rPr>
      </w:pPr>
    </w:p>
    <w:p w14:paraId="219AEAA0" w14:textId="77777777" w:rsidR="003934E1" w:rsidRDefault="003934E1">
      <w:pPr>
        <w:spacing w:line="360" w:lineRule="auto"/>
        <w:jc w:val="both"/>
        <w:rPr>
          <w:rFonts w:ascii="Times New Roman" w:eastAsia="Times New Roman" w:hAnsi="Times New Roman" w:cs="Times New Roman"/>
        </w:rPr>
      </w:pPr>
    </w:p>
    <w:p w14:paraId="4F27CE9F" w14:textId="77777777" w:rsidR="003934E1" w:rsidRDefault="003934E1">
      <w:pPr>
        <w:spacing w:line="360" w:lineRule="auto"/>
        <w:jc w:val="both"/>
        <w:rPr>
          <w:rFonts w:ascii="Times New Roman" w:eastAsia="Times New Roman" w:hAnsi="Times New Roman" w:cs="Times New Roman"/>
        </w:rPr>
      </w:pPr>
    </w:p>
    <w:p w14:paraId="452E8314" w14:textId="77777777" w:rsidR="003934E1" w:rsidRDefault="003934E1">
      <w:pPr>
        <w:spacing w:line="360" w:lineRule="auto"/>
        <w:jc w:val="both"/>
        <w:rPr>
          <w:rFonts w:ascii="Times New Roman" w:eastAsia="Times New Roman" w:hAnsi="Times New Roman" w:cs="Times New Roman"/>
        </w:rPr>
      </w:pPr>
    </w:p>
    <w:p w14:paraId="24675D86" w14:textId="77777777" w:rsidR="003934E1" w:rsidRDefault="003934E1">
      <w:pPr>
        <w:spacing w:line="360" w:lineRule="auto"/>
        <w:jc w:val="both"/>
        <w:rPr>
          <w:rFonts w:ascii="Times New Roman" w:eastAsia="Times New Roman" w:hAnsi="Times New Roman" w:cs="Times New Roman"/>
        </w:rPr>
      </w:pPr>
    </w:p>
    <w:p w14:paraId="2C7BAD8E" w14:textId="77777777" w:rsidR="003934E1" w:rsidRDefault="003934E1">
      <w:pPr>
        <w:spacing w:line="360" w:lineRule="auto"/>
        <w:jc w:val="both"/>
        <w:rPr>
          <w:rFonts w:ascii="Times New Roman" w:eastAsia="Times New Roman" w:hAnsi="Times New Roman" w:cs="Times New Roman"/>
        </w:rPr>
      </w:pPr>
    </w:p>
    <w:p w14:paraId="1FBDEC31" w14:textId="77777777" w:rsidR="003934E1" w:rsidRDefault="003934E1">
      <w:pPr>
        <w:spacing w:line="360" w:lineRule="auto"/>
        <w:jc w:val="both"/>
        <w:rPr>
          <w:rFonts w:ascii="Times New Roman" w:eastAsia="Times New Roman" w:hAnsi="Times New Roman" w:cs="Times New Roman"/>
        </w:rPr>
      </w:pPr>
    </w:p>
    <w:p w14:paraId="541AD1D7" w14:textId="77777777" w:rsidR="003934E1" w:rsidRDefault="003934E1">
      <w:pPr>
        <w:spacing w:line="360" w:lineRule="auto"/>
        <w:jc w:val="both"/>
        <w:rPr>
          <w:rFonts w:ascii="Times New Roman" w:eastAsia="Times New Roman" w:hAnsi="Times New Roman" w:cs="Times New Roman"/>
        </w:rPr>
      </w:pPr>
    </w:p>
    <w:p w14:paraId="23F10E3B" w14:textId="77777777" w:rsidR="003934E1" w:rsidRDefault="003934E1">
      <w:pPr>
        <w:spacing w:line="360" w:lineRule="auto"/>
        <w:jc w:val="both"/>
        <w:rPr>
          <w:rFonts w:ascii="Times New Roman" w:eastAsia="Times New Roman" w:hAnsi="Times New Roman" w:cs="Times New Roman"/>
        </w:rPr>
      </w:pPr>
    </w:p>
    <w:p w14:paraId="71BBC133" w14:textId="77777777" w:rsidR="003934E1" w:rsidRDefault="003934E1">
      <w:pPr>
        <w:spacing w:line="360" w:lineRule="auto"/>
        <w:jc w:val="both"/>
        <w:rPr>
          <w:rFonts w:ascii="Times New Roman" w:eastAsia="Times New Roman" w:hAnsi="Times New Roman" w:cs="Times New Roman"/>
        </w:rPr>
      </w:pPr>
    </w:p>
    <w:p w14:paraId="4AEFC494" w14:textId="77777777" w:rsidR="003934E1" w:rsidRDefault="003934E1">
      <w:pPr>
        <w:spacing w:line="360" w:lineRule="auto"/>
        <w:jc w:val="both"/>
        <w:rPr>
          <w:rFonts w:ascii="Times New Roman" w:eastAsia="Times New Roman" w:hAnsi="Times New Roman" w:cs="Times New Roman"/>
        </w:rPr>
      </w:pPr>
    </w:p>
    <w:p w14:paraId="6B552FC3" w14:textId="77777777" w:rsidR="003934E1"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rPr>
        <w:t xml:space="preserve">Aishwarya Bhattacharyya, </w:t>
      </w:r>
      <w:r>
        <w:rPr>
          <w:rFonts w:ascii="Times New Roman" w:eastAsia="Times New Roman" w:hAnsi="Times New Roman" w:cs="Times New Roman"/>
          <w:i/>
        </w:rPr>
        <w:t xml:space="preserve">MPhil., </w:t>
      </w:r>
      <w:proofErr w:type="spellStart"/>
      <w:r>
        <w:rPr>
          <w:rFonts w:ascii="Times New Roman" w:eastAsia="Times New Roman" w:hAnsi="Times New Roman" w:cs="Times New Roman"/>
          <w:i/>
        </w:rPr>
        <w:t>Ph.D</w:t>
      </w:r>
      <w:proofErr w:type="spellEnd"/>
    </w:p>
    <w:p w14:paraId="3E164F6A"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 grantee,  </w:t>
      </w:r>
      <w:proofErr w:type="spellStart"/>
      <w:r>
        <w:rPr>
          <w:rFonts w:ascii="Times New Roman" w:eastAsia="Times New Roman" w:hAnsi="Times New Roman" w:cs="Times New Roman"/>
        </w:rPr>
        <w:t>Dahdaleh</w:t>
      </w:r>
      <w:proofErr w:type="spellEnd"/>
      <w:r>
        <w:rPr>
          <w:rFonts w:ascii="Times New Roman" w:eastAsia="Times New Roman" w:hAnsi="Times New Roman" w:cs="Times New Roman"/>
        </w:rPr>
        <w:t xml:space="preserve"> Institute of Global Health Research, Canada</w:t>
      </w:r>
    </w:p>
    <w:p w14:paraId="78F16DD8"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Director, Research and Development, </w:t>
      </w:r>
      <w:proofErr w:type="spellStart"/>
      <w:r>
        <w:rPr>
          <w:rFonts w:ascii="Times New Roman" w:eastAsia="Times New Roman" w:hAnsi="Times New Roman" w:cs="Times New Roman"/>
        </w:rPr>
        <w:t>Kalavyom</w:t>
      </w:r>
      <w:proofErr w:type="spellEnd"/>
      <w:r>
        <w:rPr>
          <w:rFonts w:ascii="Times New Roman" w:eastAsia="Times New Roman" w:hAnsi="Times New Roman" w:cs="Times New Roman"/>
        </w:rPr>
        <w:t xml:space="preserve"> Foundation, India</w:t>
      </w:r>
    </w:p>
    <w:p w14:paraId="610FFD97" w14:textId="77777777" w:rsidR="003934E1" w:rsidRDefault="003934E1">
      <w:pPr>
        <w:spacing w:line="360" w:lineRule="auto"/>
        <w:jc w:val="both"/>
        <w:rPr>
          <w:rFonts w:ascii="Times New Roman" w:eastAsia="Times New Roman" w:hAnsi="Times New Roman" w:cs="Times New Roman"/>
        </w:rPr>
      </w:pPr>
    </w:p>
    <w:p w14:paraId="3D8068F1" w14:textId="77777777" w:rsidR="003934E1" w:rsidRDefault="00000000">
      <w:pPr>
        <w:spacing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Indigeneity as Pedagogy: A Case for Reconciliation as Living Ethics</w:t>
      </w:r>
    </w:p>
    <w:p w14:paraId="0246AC4A" w14:textId="77777777" w:rsidR="003934E1" w:rsidRDefault="003934E1">
      <w:pPr>
        <w:spacing w:line="360" w:lineRule="auto"/>
        <w:jc w:val="both"/>
        <w:rPr>
          <w:rFonts w:ascii="Times New Roman" w:eastAsia="Times New Roman" w:hAnsi="Times New Roman" w:cs="Times New Roman"/>
        </w:rPr>
      </w:pPr>
    </w:p>
    <w:p w14:paraId="6C4C31FA" w14:textId="77777777" w:rsidR="003934E1"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Abstract</w:t>
      </w:r>
    </w:p>
    <w:p w14:paraId="42262C46"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This presentation argues that reconciliation must be the starting point for any meaningful conversation around indigeneity and justice. Too often, engagements with Indigenous knowledge systems are extractive or symbolic, bypassing the historical and ongoing harms caused by colonial structures. By framing indigeneity as pedagogy, this work emphasizes that Indigenous ways of knowing are not merely content to be studied but living practices that demand relational accountability. Reconciliation, then, is not a destination but a continuous process that begins with listening, unlearning, and ethical participation. This presentation reflects on how reconciliation can reshape pedagogical spaces, which in turn can foreground Indigenous presence—not as inclusion within settler terms, but as the grounding of alternative worldviews. Through this lens, reconciliation becomes the ethical entry point into just and respectful relationships with Indigenous people(s) and knowledge(s).</w:t>
      </w:r>
    </w:p>
    <w:p w14:paraId="4D7D4BC6" w14:textId="77777777" w:rsidR="003934E1" w:rsidRDefault="003934E1">
      <w:pPr>
        <w:spacing w:line="360" w:lineRule="auto"/>
        <w:jc w:val="both"/>
        <w:rPr>
          <w:rFonts w:ascii="Times New Roman" w:eastAsia="Times New Roman" w:hAnsi="Times New Roman" w:cs="Times New Roman"/>
        </w:rPr>
      </w:pPr>
    </w:p>
    <w:p w14:paraId="5AD0DCAB" w14:textId="77777777" w:rsidR="003934E1" w:rsidRDefault="00000000">
      <w:pPr>
        <w:spacing w:line="360" w:lineRule="auto"/>
        <w:jc w:val="both"/>
        <w:rPr>
          <w:rFonts w:ascii="Times New Roman" w:eastAsia="Times New Roman" w:hAnsi="Times New Roman" w:cs="Times New Roman"/>
          <w:i/>
        </w:rPr>
      </w:pPr>
      <w:r>
        <w:rPr>
          <w:rFonts w:ascii="Times New Roman" w:eastAsia="Times New Roman" w:hAnsi="Times New Roman" w:cs="Times New Roman"/>
        </w:rPr>
        <w:t xml:space="preserve">Aishwarya Bhattacharyya, </w:t>
      </w:r>
      <w:r>
        <w:rPr>
          <w:rFonts w:ascii="Times New Roman" w:eastAsia="Times New Roman" w:hAnsi="Times New Roman" w:cs="Times New Roman"/>
          <w:i/>
        </w:rPr>
        <w:t xml:space="preserve">MPhil., </w:t>
      </w:r>
      <w:proofErr w:type="spellStart"/>
      <w:r>
        <w:rPr>
          <w:rFonts w:ascii="Times New Roman" w:eastAsia="Times New Roman" w:hAnsi="Times New Roman" w:cs="Times New Roman"/>
          <w:i/>
        </w:rPr>
        <w:t>Ph.D</w:t>
      </w:r>
      <w:proofErr w:type="spellEnd"/>
    </w:p>
    <w:p w14:paraId="19AE81FC"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Co- grantee,  </w:t>
      </w:r>
      <w:proofErr w:type="spellStart"/>
      <w:r>
        <w:rPr>
          <w:rFonts w:ascii="Times New Roman" w:eastAsia="Times New Roman" w:hAnsi="Times New Roman" w:cs="Times New Roman"/>
        </w:rPr>
        <w:t>Dahdaleh</w:t>
      </w:r>
      <w:proofErr w:type="spellEnd"/>
      <w:r>
        <w:rPr>
          <w:rFonts w:ascii="Times New Roman" w:eastAsia="Times New Roman" w:hAnsi="Times New Roman" w:cs="Times New Roman"/>
        </w:rPr>
        <w:t xml:space="preserve"> Institute of Global Health Research, Canada</w:t>
      </w:r>
    </w:p>
    <w:p w14:paraId="56BD6FAC"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Director, Research and Development, </w:t>
      </w:r>
      <w:proofErr w:type="spellStart"/>
      <w:r>
        <w:rPr>
          <w:rFonts w:ascii="Times New Roman" w:eastAsia="Times New Roman" w:hAnsi="Times New Roman" w:cs="Times New Roman"/>
        </w:rPr>
        <w:t>Kalavyom</w:t>
      </w:r>
      <w:proofErr w:type="spellEnd"/>
      <w:r>
        <w:rPr>
          <w:rFonts w:ascii="Times New Roman" w:eastAsia="Times New Roman" w:hAnsi="Times New Roman" w:cs="Times New Roman"/>
        </w:rPr>
        <w:t xml:space="preserve"> Foundation, India</w:t>
      </w:r>
    </w:p>
    <w:p w14:paraId="3C71EC21" w14:textId="77777777" w:rsidR="003934E1" w:rsidRDefault="003934E1">
      <w:pPr>
        <w:spacing w:line="360" w:lineRule="auto"/>
        <w:jc w:val="both"/>
        <w:rPr>
          <w:rFonts w:ascii="Times New Roman" w:eastAsia="Times New Roman" w:hAnsi="Times New Roman" w:cs="Times New Roman"/>
        </w:rPr>
      </w:pPr>
    </w:p>
    <w:p w14:paraId="797C953C" w14:textId="77777777" w:rsidR="003934E1" w:rsidRDefault="00000000">
      <w:pPr>
        <w:spacing w:line="360" w:lineRule="auto"/>
        <w:jc w:val="both"/>
        <w:rPr>
          <w:rFonts w:ascii="Times New Roman" w:eastAsia="Times New Roman" w:hAnsi="Times New Roman" w:cs="Times New Roman"/>
          <w:b/>
        </w:rPr>
      </w:pPr>
      <w:r>
        <w:rPr>
          <w:rFonts w:ascii="Times New Roman" w:eastAsia="Times New Roman" w:hAnsi="Times New Roman" w:cs="Times New Roman"/>
          <w:b/>
        </w:rPr>
        <w:t>Acknowledgement</w:t>
      </w:r>
    </w:p>
    <w:p w14:paraId="3B762A8A"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This work was made possible through the generous support of the </w:t>
      </w:r>
      <w:proofErr w:type="spellStart"/>
      <w:r>
        <w:rPr>
          <w:rFonts w:ascii="Times New Roman" w:eastAsia="Times New Roman" w:hAnsi="Times New Roman" w:cs="Times New Roman"/>
        </w:rPr>
        <w:t>Dahdaleh</w:t>
      </w:r>
      <w:proofErr w:type="spellEnd"/>
      <w:r>
        <w:rPr>
          <w:rFonts w:ascii="Times New Roman" w:eastAsia="Times New Roman" w:hAnsi="Times New Roman" w:cs="Times New Roman"/>
        </w:rPr>
        <w:t xml:space="preserve"> Institute for Global Health Research. I wish to respectfully acknowledge that the Institute is located on the traditional territory of the Anishinabek Nation, the Haudenosaunee Confederacy, and the Huron-Wendat peoples. This land is now home to many First Nation, Inuit, and Métis communities, with the current treaty holders being the </w:t>
      </w:r>
      <w:proofErr w:type="spellStart"/>
      <w:r>
        <w:rPr>
          <w:rFonts w:ascii="Times New Roman" w:eastAsia="Times New Roman" w:hAnsi="Times New Roman" w:cs="Times New Roman"/>
        </w:rPr>
        <w:t>Mississaugas</w:t>
      </w:r>
      <w:proofErr w:type="spellEnd"/>
      <w:r>
        <w:rPr>
          <w:rFonts w:ascii="Times New Roman" w:eastAsia="Times New Roman" w:hAnsi="Times New Roman" w:cs="Times New Roman"/>
        </w:rPr>
        <w:t xml:space="preserve"> of the Credit First Nation.</w:t>
      </w:r>
    </w:p>
    <w:p w14:paraId="3F4AC0D5" w14:textId="77777777" w:rsidR="003934E1" w:rsidRDefault="003934E1">
      <w:pPr>
        <w:spacing w:line="360" w:lineRule="auto"/>
        <w:jc w:val="both"/>
        <w:rPr>
          <w:rFonts w:ascii="Times New Roman" w:eastAsia="Times New Roman" w:hAnsi="Times New Roman" w:cs="Times New Roman"/>
        </w:rPr>
      </w:pPr>
    </w:p>
    <w:p w14:paraId="31D476E8" w14:textId="77777777" w:rsidR="003934E1" w:rsidRDefault="003934E1">
      <w:pPr>
        <w:spacing w:line="360" w:lineRule="auto"/>
        <w:jc w:val="both"/>
        <w:rPr>
          <w:rFonts w:ascii="Times New Roman" w:eastAsia="Times New Roman" w:hAnsi="Times New Roman" w:cs="Times New Roman"/>
        </w:rPr>
      </w:pPr>
    </w:p>
    <w:p w14:paraId="3EE27FB8" w14:textId="77777777" w:rsidR="003934E1" w:rsidRDefault="003934E1">
      <w:pPr>
        <w:spacing w:line="360" w:lineRule="auto"/>
        <w:jc w:val="both"/>
        <w:rPr>
          <w:rFonts w:ascii="Times New Roman" w:eastAsia="Times New Roman" w:hAnsi="Times New Roman" w:cs="Times New Roman"/>
        </w:rPr>
      </w:pPr>
    </w:p>
    <w:p w14:paraId="124A7CBB" w14:textId="77777777" w:rsidR="003934E1" w:rsidRDefault="003934E1">
      <w:pPr>
        <w:spacing w:line="360" w:lineRule="auto"/>
        <w:jc w:val="both"/>
        <w:rPr>
          <w:rFonts w:ascii="Times New Roman" w:eastAsia="Times New Roman" w:hAnsi="Times New Roman" w:cs="Times New Roman"/>
        </w:rPr>
      </w:pPr>
    </w:p>
    <w:p w14:paraId="4E9FBEF7" w14:textId="77777777" w:rsidR="003934E1" w:rsidRDefault="00000000">
      <w:pPr>
        <w:spacing w:after="280" w:line="360" w:lineRule="auto"/>
        <w:jc w:val="both"/>
        <w:rPr>
          <w:rFonts w:ascii="Calibri" w:eastAsia="Calibri" w:hAnsi="Calibri" w:cs="Calibri"/>
          <w:b/>
          <w:sz w:val="32"/>
          <w:szCs w:val="32"/>
        </w:rPr>
      </w:pPr>
      <w:proofErr w:type="spellStart"/>
      <w:r>
        <w:rPr>
          <w:rFonts w:ascii="Calibri" w:eastAsia="Calibri" w:hAnsi="Calibri" w:cs="Calibri"/>
          <w:b/>
          <w:sz w:val="32"/>
          <w:szCs w:val="32"/>
        </w:rPr>
        <w:t>Nanjiyamma</w:t>
      </w:r>
      <w:proofErr w:type="spellEnd"/>
      <w:r>
        <w:rPr>
          <w:rFonts w:ascii="Calibri" w:eastAsia="Calibri" w:hAnsi="Calibri" w:cs="Calibri"/>
          <w:b/>
          <w:sz w:val="32"/>
          <w:szCs w:val="32"/>
        </w:rPr>
        <w:t xml:space="preserve"> and </w:t>
      </w:r>
      <w:proofErr w:type="spellStart"/>
      <w:r>
        <w:rPr>
          <w:rFonts w:ascii="Calibri" w:eastAsia="Calibri" w:hAnsi="Calibri" w:cs="Calibri"/>
          <w:b/>
          <w:sz w:val="32"/>
          <w:szCs w:val="32"/>
        </w:rPr>
        <w:t>Kalakkatha</w:t>
      </w:r>
      <w:proofErr w:type="spellEnd"/>
      <w:r>
        <w:rPr>
          <w:rFonts w:ascii="Calibri" w:eastAsia="Calibri" w:hAnsi="Calibri" w:cs="Calibri"/>
          <w:b/>
          <w:sz w:val="32"/>
          <w:szCs w:val="32"/>
        </w:rPr>
        <w:t xml:space="preserve"> Song: </w:t>
      </w:r>
      <w:proofErr w:type="spellStart"/>
      <w:r>
        <w:rPr>
          <w:rFonts w:ascii="Calibri" w:eastAsia="Calibri" w:hAnsi="Calibri" w:cs="Calibri"/>
          <w:b/>
          <w:sz w:val="32"/>
          <w:szCs w:val="32"/>
        </w:rPr>
        <w:t>Analyzing</w:t>
      </w:r>
      <w:proofErr w:type="spellEnd"/>
      <w:r>
        <w:rPr>
          <w:rFonts w:ascii="Calibri" w:eastAsia="Calibri" w:hAnsi="Calibri" w:cs="Calibri"/>
          <w:b/>
          <w:sz w:val="32"/>
          <w:szCs w:val="32"/>
        </w:rPr>
        <w:t xml:space="preserve"> the Tribal Folk Tradition and Dialects of the </w:t>
      </w:r>
      <w:proofErr w:type="spellStart"/>
      <w:r>
        <w:rPr>
          <w:rFonts w:ascii="Calibri" w:eastAsia="Calibri" w:hAnsi="Calibri" w:cs="Calibri"/>
          <w:b/>
          <w:sz w:val="32"/>
          <w:szCs w:val="32"/>
        </w:rPr>
        <w:t>Irula</w:t>
      </w:r>
      <w:proofErr w:type="spellEnd"/>
      <w:r>
        <w:rPr>
          <w:rFonts w:ascii="Calibri" w:eastAsia="Calibri" w:hAnsi="Calibri" w:cs="Calibri"/>
          <w:b/>
          <w:sz w:val="32"/>
          <w:szCs w:val="32"/>
        </w:rPr>
        <w:t xml:space="preserve"> Community</w:t>
      </w:r>
    </w:p>
    <w:p w14:paraId="616DE9F0" w14:textId="77777777" w:rsidR="003934E1" w:rsidRDefault="00000000">
      <w:pPr>
        <w:spacing w:before="280" w:after="280"/>
        <w:jc w:val="center"/>
        <w:rPr>
          <w:rFonts w:ascii="Calibri" w:eastAsia="Calibri" w:hAnsi="Calibri" w:cs="Calibri"/>
          <w:sz w:val="28"/>
          <w:szCs w:val="28"/>
        </w:rPr>
      </w:pPr>
      <w:r>
        <w:rPr>
          <w:rFonts w:ascii="Calibri" w:eastAsia="Calibri" w:hAnsi="Calibri" w:cs="Calibri"/>
          <w:sz w:val="28"/>
          <w:szCs w:val="28"/>
        </w:rPr>
        <w:t xml:space="preserve">Muhammed Sinan, </w:t>
      </w:r>
      <w:proofErr w:type="spellStart"/>
      <w:r>
        <w:rPr>
          <w:rFonts w:ascii="Calibri" w:eastAsia="Calibri" w:hAnsi="Calibri" w:cs="Calibri"/>
          <w:sz w:val="28"/>
          <w:szCs w:val="28"/>
        </w:rPr>
        <w:t>Abusalman</w:t>
      </w:r>
      <w:proofErr w:type="spellEnd"/>
      <w:r>
        <w:rPr>
          <w:rFonts w:ascii="Calibri" w:eastAsia="Calibri" w:hAnsi="Calibri" w:cs="Calibri"/>
          <w:sz w:val="28"/>
          <w:szCs w:val="28"/>
        </w:rPr>
        <w:t xml:space="preserve"> T S</w:t>
      </w:r>
    </w:p>
    <w:p w14:paraId="50B47EB8" w14:textId="77777777" w:rsidR="003934E1" w:rsidRDefault="00000000">
      <w:pPr>
        <w:spacing w:before="280" w:after="280"/>
        <w:jc w:val="center"/>
        <w:rPr>
          <w:rFonts w:ascii="Calibri" w:eastAsia="Calibri" w:hAnsi="Calibri" w:cs="Calibri"/>
          <w:sz w:val="28"/>
          <w:szCs w:val="28"/>
        </w:rPr>
      </w:pPr>
      <w:r>
        <w:rPr>
          <w:rFonts w:ascii="Calibri" w:eastAsia="Calibri" w:hAnsi="Calibri" w:cs="Calibri"/>
          <w:i/>
        </w:rPr>
        <w:t>(BA Sociology, Pondicherry Central University)</w:t>
      </w:r>
    </w:p>
    <w:p w14:paraId="376E2D37" w14:textId="77777777" w:rsidR="003934E1" w:rsidRDefault="00000000">
      <w:pPr>
        <w:spacing w:before="280" w:after="280" w:line="360" w:lineRule="auto"/>
        <w:jc w:val="both"/>
        <w:rPr>
          <w:rFonts w:ascii="Calibri" w:eastAsia="Calibri" w:hAnsi="Calibri" w:cs="Calibri"/>
          <w:b/>
        </w:rPr>
      </w:pPr>
      <w:r>
        <w:rPr>
          <w:rFonts w:ascii="Calibri" w:eastAsia="Calibri" w:hAnsi="Calibri" w:cs="Calibri"/>
          <w:b/>
        </w:rPr>
        <w:t>Abstract</w:t>
      </w:r>
    </w:p>
    <w:p w14:paraId="18C95EB1" w14:textId="77777777" w:rsidR="003934E1" w:rsidRDefault="00000000">
      <w:pPr>
        <w:spacing w:before="280" w:after="280" w:line="360" w:lineRule="auto"/>
        <w:jc w:val="both"/>
        <w:rPr>
          <w:rFonts w:ascii="Calibri" w:eastAsia="Calibri" w:hAnsi="Calibri" w:cs="Calibri"/>
          <w:i/>
        </w:rPr>
      </w:pPr>
      <w:r>
        <w:rPr>
          <w:rFonts w:ascii="Calibri" w:eastAsia="Calibri" w:hAnsi="Calibri" w:cs="Calibri"/>
          <w:i/>
        </w:rPr>
        <w:t xml:space="preserve">This paper examines the cultural and linguistic significance of </w:t>
      </w:r>
      <w:proofErr w:type="spellStart"/>
      <w:r>
        <w:rPr>
          <w:rFonts w:ascii="Calibri" w:eastAsia="Calibri" w:hAnsi="Calibri" w:cs="Calibri"/>
          <w:i/>
        </w:rPr>
        <w:t>Nanjiyamma</w:t>
      </w:r>
      <w:proofErr w:type="spellEnd"/>
      <w:r>
        <w:rPr>
          <w:rFonts w:ascii="Calibri" w:eastAsia="Calibri" w:hAnsi="Calibri" w:cs="Calibri"/>
          <w:i/>
        </w:rPr>
        <w:t xml:space="preserve">, an indigenous folk artist from the </w:t>
      </w:r>
      <w:proofErr w:type="spellStart"/>
      <w:r>
        <w:rPr>
          <w:rFonts w:ascii="Calibri" w:eastAsia="Calibri" w:hAnsi="Calibri" w:cs="Calibri"/>
          <w:i/>
        </w:rPr>
        <w:t>Irula</w:t>
      </w:r>
      <w:proofErr w:type="spellEnd"/>
      <w:r>
        <w:rPr>
          <w:rFonts w:ascii="Calibri" w:eastAsia="Calibri" w:hAnsi="Calibri" w:cs="Calibri"/>
          <w:i/>
        </w:rPr>
        <w:t xml:space="preserve"> community of </w:t>
      </w:r>
      <w:proofErr w:type="spellStart"/>
      <w:r>
        <w:rPr>
          <w:rFonts w:ascii="Calibri" w:eastAsia="Calibri" w:hAnsi="Calibri" w:cs="Calibri"/>
          <w:i/>
        </w:rPr>
        <w:t>Attappadi</w:t>
      </w:r>
      <w:proofErr w:type="spellEnd"/>
      <w:r>
        <w:rPr>
          <w:rFonts w:ascii="Calibri" w:eastAsia="Calibri" w:hAnsi="Calibri" w:cs="Calibri"/>
          <w:i/>
        </w:rPr>
        <w:t xml:space="preserve">, Kerala, through an analytical lens focused on her performance of the song </w:t>
      </w:r>
      <w:proofErr w:type="spellStart"/>
      <w:r>
        <w:rPr>
          <w:rFonts w:ascii="Calibri" w:eastAsia="Calibri" w:hAnsi="Calibri" w:cs="Calibri"/>
          <w:i/>
        </w:rPr>
        <w:t>Kalakkatha</w:t>
      </w:r>
      <w:proofErr w:type="spellEnd"/>
      <w:r>
        <w:rPr>
          <w:rFonts w:ascii="Calibri" w:eastAsia="Calibri" w:hAnsi="Calibri" w:cs="Calibri"/>
          <w:i/>
        </w:rPr>
        <w:t xml:space="preserve"> Sandana Meram in the 2020 Malayalam film </w:t>
      </w:r>
      <w:proofErr w:type="spellStart"/>
      <w:r>
        <w:rPr>
          <w:rFonts w:ascii="Calibri" w:eastAsia="Calibri" w:hAnsi="Calibri" w:cs="Calibri"/>
          <w:i/>
        </w:rPr>
        <w:t>Ayyappanum</w:t>
      </w:r>
      <w:proofErr w:type="spellEnd"/>
      <w:r>
        <w:rPr>
          <w:rFonts w:ascii="Calibri" w:eastAsia="Calibri" w:hAnsi="Calibri" w:cs="Calibri"/>
          <w:i/>
        </w:rPr>
        <w:t xml:space="preserve"> </w:t>
      </w:r>
      <w:proofErr w:type="spellStart"/>
      <w:r>
        <w:rPr>
          <w:rFonts w:ascii="Calibri" w:eastAsia="Calibri" w:hAnsi="Calibri" w:cs="Calibri"/>
          <w:i/>
        </w:rPr>
        <w:t>Koshiyum</w:t>
      </w:r>
      <w:proofErr w:type="spellEnd"/>
      <w:r>
        <w:rPr>
          <w:rFonts w:ascii="Calibri" w:eastAsia="Calibri" w:hAnsi="Calibri" w:cs="Calibri"/>
          <w:i/>
        </w:rPr>
        <w:t xml:space="preserve">. As both the lyricist and performer, </w:t>
      </w:r>
      <w:proofErr w:type="spellStart"/>
      <w:r>
        <w:rPr>
          <w:rFonts w:ascii="Calibri" w:eastAsia="Calibri" w:hAnsi="Calibri" w:cs="Calibri"/>
          <w:i/>
        </w:rPr>
        <w:t>Nanjiyamma</w:t>
      </w:r>
      <w:proofErr w:type="spellEnd"/>
      <w:r>
        <w:rPr>
          <w:rFonts w:ascii="Calibri" w:eastAsia="Calibri" w:hAnsi="Calibri" w:cs="Calibri"/>
          <w:i/>
        </w:rPr>
        <w:t xml:space="preserve"> brought national attention to the </w:t>
      </w:r>
      <w:proofErr w:type="spellStart"/>
      <w:r>
        <w:rPr>
          <w:rFonts w:ascii="Calibri" w:eastAsia="Calibri" w:hAnsi="Calibri" w:cs="Calibri"/>
          <w:i/>
        </w:rPr>
        <w:t>Irula</w:t>
      </w:r>
      <w:proofErr w:type="spellEnd"/>
      <w:r>
        <w:rPr>
          <w:rFonts w:ascii="Calibri" w:eastAsia="Calibri" w:hAnsi="Calibri" w:cs="Calibri"/>
          <w:i/>
        </w:rPr>
        <w:t xml:space="preserve"> dialect—a largely oral and endangered language—through a mainstream cinematic platform. The song, which was released on YouTube and garnered over one crore views within a month, became a cultural phenomenon. It not only elevated </w:t>
      </w:r>
      <w:proofErr w:type="spellStart"/>
      <w:r>
        <w:rPr>
          <w:rFonts w:ascii="Calibri" w:eastAsia="Calibri" w:hAnsi="Calibri" w:cs="Calibri"/>
          <w:i/>
        </w:rPr>
        <w:t>Nanjiyamma</w:t>
      </w:r>
      <w:proofErr w:type="spellEnd"/>
      <w:r>
        <w:rPr>
          <w:rFonts w:ascii="Calibri" w:eastAsia="Calibri" w:hAnsi="Calibri" w:cs="Calibri"/>
          <w:i/>
        </w:rPr>
        <w:t xml:space="preserve"> to the status of a public figure but also spotlighted the richness of tribal folk traditions that are often excluded from dominant cultural narratives. </w:t>
      </w:r>
    </w:p>
    <w:p w14:paraId="00425943" w14:textId="77777777" w:rsidR="003934E1" w:rsidRDefault="00000000">
      <w:pPr>
        <w:spacing w:before="280" w:after="280" w:line="360" w:lineRule="auto"/>
        <w:jc w:val="both"/>
        <w:rPr>
          <w:rFonts w:ascii="Calibri" w:eastAsia="Calibri" w:hAnsi="Calibri" w:cs="Calibri"/>
          <w:i/>
        </w:rPr>
      </w:pPr>
      <w:r>
        <w:rPr>
          <w:rFonts w:ascii="Calibri" w:eastAsia="Calibri" w:hAnsi="Calibri" w:cs="Calibri"/>
          <w:i/>
        </w:rPr>
        <w:t xml:space="preserve">This study explores how </w:t>
      </w:r>
      <w:proofErr w:type="spellStart"/>
      <w:r>
        <w:rPr>
          <w:rFonts w:ascii="Calibri" w:eastAsia="Calibri" w:hAnsi="Calibri" w:cs="Calibri"/>
          <w:i/>
        </w:rPr>
        <w:t>Kalakkatha</w:t>
      </w:r>
      <w:proofErr w:type="spellEnd"/>
      <w:r>
        <w:rPr>
          <w:rFonts w:ascii="Calibri" w:eastAsia="Calibri" w:hAnsi="Calibri" w:cs="Calibri"/>
          <w:i/>
        </w:rPr>
        <w:t xml:space="preserve"> operates as a site of cultural resistance and revival, demonstrating how indigenous oral traditions can thrive in digital and commercial spaces while retaining their authenticity. The paper contextualizes </w:t>
      </w:r>
      <w:proofErr w:type="spellStart"/>
      <w:r>
        <w:rPr>
          <w:rFonts w:ascii="Calibri" w:eastAsia="Calibri" w:hAnsi="Calibri" w:cs="Calibri"/>
          <w:i/>
        </w:rPr>
        <w:t>Nanjiyamma’s</w:t>
      </w:r>
      <w:proofErr w:type="spellEnd"/>
      <w:r>
        <w:rPr>
          <w:rFonts w:ascii="Calibri" w:eastAsia="Calibri" w:hAnsi="Calibri" w:cs="Calibri"/>
          <w:i/>
        </w:rPr>
        <w:t xml:space="preserve"> contribution within broader frameworks of tribal identity, performance, and language politics. Her success, culminating in her receipt of the National Award for Best Female Playback Singer in 2020, is positioned as a pivotal moment for the representation of tribal women in public discourse. Her </w:t>
      </w:r>
      <w:r>
        <w:rPr>
          <w:rFonts w:ascii="Calibri" w:eastAsia="Calibri" w:hAnsi="Calibri" w:cs="Calibri"/>
          <w:i/>
        </w:rPr>
        <w:lastRenderedPageBreak/>
        <w:t>role as a farmer, community elder, and now cultural ambassador further emphasizes the multifaceted contributions of tribal women as custodians of heritage.</w:t>
      </w:r>
    </w:p>
    <w:p w14:paraId="0C671238" w14:textId="77777777" w:rsidR="003934E1" w:rsidRDefault="00000000">
      <w:pPr>
        <w:spacing w:before="280" w:after="280" w:line="360" w:lineRule="auto"/>
        <w:jc w:val="both"/>
        <w:rPr>
          <w:rFonts w:ascii="Calibri" w:eastAsia="Calibri" w:hAnsi="Calibri" w:cs="Calibri"/>
          <w:i/>
        </w:rPr>
      </w:pPr>
      <w:r>
        <w:rPr>
          <w:rFonts w:ascii="Calibri" w:eastAsia="Calibri" w:hAnsi="Calibri" w:cs="Calibri"/>
          <w:i/>
        </w:rPr>
        <w:t xml:space="preserve">Additionally, the research investigates generational engagement with tribal culture through figures like Gen Z vlogger </w:t>
      </w:r>
      <w:proofErr w:type="spellStart"/>
      <w:r>
        <w:rPr>
          <w:rFonts w:ascii="Calibri" w:eastAsia="Calibri" w:hAnsi="Calibri" w:cs="Calibri"/>
          <w:i/>
        </w:rPr>
        <w:t>Yeadhu</w:t>
      </w:r>
      <w:proofErr w:type="spellEnd"/>
      <w:r>
        <w:rPr>
          <w:rFonts w:ascii="Calibri" w:eastAsia="Calibri" w:hAnsi="Calibri" w:cs="Calibri"/>
          <w:i/>
        </w:rPr>
        <w:t xml:space="preserve">, who admires and documents </w:t>
      </w:r>
      <w:proofErr w:type="spellStart"/>
      <w:r>
        <w:rPr>
          <w:rFonts w:ascii="Calibri" w:eastAsia="Calibri" w:hAnsi="Calibri" w:cs="Calibri"/>
          <w:i/>
        </w:rPr>
        <w:t>Nanjiyamma’s</w:t>
      </w:r>
      <w:proofErr w:type="spellEnd"/>
      <w:r>
        <w:rPr>
          <w:rFonts w:ascii="Calibri" w:eastAsia="Calibri" w:hAnsi="Calibri" w:cs="Calibri"/>
          <w:i/>
        </w:rPr>
        <w:t xml:space="preserve"> work. This intergenerational dialogue reflects an evolving cultural dynamic where traditional tribal narratives are being reinterpreted, shared, and celebrated in modern forms. </w:t>
      </w:r>
      <w:proofErr w:type="spellStart"/>
      <w:r>
        <w:rPr>
          <w:rFonts w:ascii="Calibri" w:eastAsia="Calibri" w:hAnsi="Calibri" w:cs="Calibri"/>
          <w:i/>
        </w:rPr>
        <w:t>Nanjiyamma’s</w:t>
      </w:r>
      <w:proofErr w:type="spellEnd"/>
      <w:r>
        <w:rPr>
          <w:rFonts w:ascii="Calibri" w:eastAsia="Calibri" w:hAnsi="Calibri" w:cs="Calibri"/>
          <w:i/>
        </w:rPr>
        <w:t xml:space="preserve"> influence illustrates how tribal women use music, language, and storytelling as powerful tools for self-representation and cultural continuity. Through a case study approach grounded in ethnographic and media analysis, this paper argues that the </w:t>
      </w:r>
      <w:proofErr w:type="spellStart"/>
      <w:r>
        <w:rPr>
          <w:rFonts w:ascii="Calibri" w:eastAsia="Calibri" w:hAnsi="Calibri" w:cs="Calibri"/>
          <w:i/>
        </w:rPr>
        <w:t>Irula</w:t>
      </w:r>
      <w:proofErr w:type="spellEnd"/>
      <w:r>
        <w:rPr>
          <w:rFonts w:ascii="Calibri" w:eastAsia="Calibri" w:hAnsi="Calibri" w:cs="Calibri"/>
          <w:i/>
        </w:rPr>
        <w:t xml:space="preserve"> community’s folk traditions and dialects are not static remnants but evolving cultural assets. </w:t>
      </w:r>
      <w:proofErr w:type="spellStart"/>
      <w:r>
        <w:rPr>
          <w:rFonts w:ascii="Calibri" w:eastAsia="Calibri" w:hAnsi="Calibri" w:cs="Calibri"/>
          <w:i/>
        </w:rPr>
        <w:t>Nanjiyamma’s</w:t>
      </w:r>
      <w:proofErr w:type="spellEnd"/>
      <w:r>
        <w:rPr>
          <w:rFonts w:ascii="Calibri" w:eastAsia="Calibri" w:hAnsi="Calibri" w:cs="Calibri"/>
          <w:i/>
        </w:rPr>
        <w:t xml:space="preserve"> journey bridges the gap between orality and digital media, tradition and innovation, and marginalization and recognition, making her a symbol of the enduring vitality of India’s tribal heritage in the 21st century.</w:t>
      </w:r>
    </w:p>
    <w:p w14:paraId="6932AEA2" w14:textId="77777777" w:rsidR="003934E1" w:rsidRDefault="00000000">
      <w:pPr>
        <w:spacing w:before="280" w:after="280" w:line="360" w:lineRule="auto"/>
        <w:jc w:val="both"/>
        <w:rPr>
          <w:rFonts w:ascii="Calibri" w:eastAsia="Calibri" w:hAnsi="Calibri" w:cs="Calibri"/>
        </w:rPr>
      </w:pPr>
      <w:r>
        <w:rPr>
          <w:rFonts w:ascii="Calibri" w:eastAsia="Calibri" w:hAnsi="Calibri" w:cs="Calibri"/>
          <w:i/>
        </w:rPr>
        <w:t xml:space="preserve">Keywords: </w:t>
      </w:r>
      <w:proofErr w:type="spellStart"/>
      <w:r>
        <w:rPr>
          <w:rFonts w:ascii="Calibri" w:eastAsia="Calibri" w:hAnsi="Calibri" w:cs="Calibri"/>
          <w:i/>
        </w:rPr>
        <w:t>Nanjiyamma</w:t>
      </w:r>
      <w:proofErr w:type="spellEnd"/>
      <w:r>
        <w:rPr>
          <w:rFonts w:ascii="Calibri" w:eastAsia="Calibri" w:hAnsi="Calibri" w:cs="Calibri"/>
          <w:i/>
        </w:rPr>
        <w:t xml:space="preserve">, </w:t>
      </w:r>
      <w:proofErr w:type="spellStart"/>
      <w:r>
        <w:rPr>
          <w:rFonts w:ascii="Calibri" w:eastAsia="Calibri" w:hAnsi="Calibri" w:cs="Calibri"/>
          <w:i/>
        </w:rPr>
        <w:t>Irula</w:t>
      </w:r>
      <w:proofErr w:type="spellEnd"/>
      <w:r>
        <w:rPr>
          <w:rFonts w:ascii="Calibri" w:eastAsia="Calibri" w:hAnsi="Calibri" w:cs="Calibri"/>
          <w:i/>
        </w:rPr>
        <w:t xml:space="preserve"> community, </w:t>
      </w:r>
      <w:proofErr w:type="spellStart"/>
      <w:r>
        <w:rPr>
          <w:rFonts w:ascii="Calibri" w:eastAsia="Calibri" w:hAnsi="Calibri" w:cs="Calibri"/>
          <w:i/>
        </w:rPr>
        <w:t>Kalakkatha</w:t>
      </w:r>
      <w:proofErr w:type="spellEnd"/>
      <w:r>
        <w:rPr>
          <w:rFonts w:ascii="Calibri" w:eastAsia="Calibri" w:hAnsi="Calibri" w:cs="Calibri"/>
          <w:i/>
        </w:rPr>
        <w:t xml:space="preserve"> song, indigenous dialects</w:t>
      </w:r>
    </w:p>
    <w:p w14:paraId="58625F39" w14:textId="77777777" w:rsidR="003934E1" w:rsidRDefault="003934E1">
      <w:pPr>
        <w:spacing w:before="280" w:after="280" w:line="360" w:lineRule="auto"/>
        <w:jc w:val="both"/>
        <w:rPr>
          <w:rFonts w:ascii="Calibri" w:eastAsia="Calibri" w:hAnsi="Calibri" w:cs="Calibri"/>
        </w:rPr>
      </w:pPr>
    </w:p>
    <w:p w14:paraId="50EBEB38" w14:textId="77777777" w:rsidR="003934E1" w:rsidRDefault="00000000">
      <w:pPr>
        <w:spacing w:before="280" w:after="280" w:line="360" w:lineRule="auto"/>
        <w:jc w:val="both"/>
        <w:rPr>
          <w:rFonts w:ascii="Calibri" w:eastAsia="Calibri" w:hAnsi="Calibri" w:cs="Calibri"/>
          <w:b/>
          <w:sz w:val="28"/>
          <w:szCs w:val="28"/>
        </w:rPr>
      </w:pPr>
      <w:r>
        <w:rPr>
          <w:rFonts w:ascii="Calibri" w:eastAsia="Calibri" w:hAnsi="Calibri" w:cs="Calibri"/>
          <w:b/>
          <w:sz w:val="28"/>
          <w:szCs w:val="28"/>
        </w:rPr>
        <w:t>Introduction</w:t>
      </w:r>
    </w:p>
    <w:p w14:paraId="05AB9133"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Cinema is one of the commercialised art forms of the twentieth century. The ideological underpinnings hidden under the finer fabric of cinema can play a crucial role in swaying public opinion. The Malayalam film industry produces an average of 150 movies per year (</w:t>
      </w:r>
      <w:proofErr w:type="spellStart"/>
      <w:r>
        <w:rPr>
          <w:rFonts w:ascii="Calibri" w:eastAsia="Calibri" w:hAnsi="Calibri" w:cs="Calibri"/>
        </w:rPr>
        <w:t>Divakaran</w:t>
      </w:r>
      <w:proofErr w:type="spellEnd"/>
      <w:r>
        <w:rPr>
          <w:rFonts w:ascii="Calibri" w:eastAsia="Calibri" w:hAnsi="Calibri" w:cs="Calibri"/>
        </w:rPr>
        <w:t xml:space="preserve">, 2017, p. 240), making it the fourth-largest filmmaking industry in India. Within a brief span of 94 years, Malayalam cinema has already proved its mettle in various national and international venues. From the treatment of offbeat themes dealing with societal inequalities to the innovative visual rendering on the big screen, Malayalam cinema has the efficacy to attract a large pool of moviegoers from all over the world. </w:t>
      </w:r>
    </w:p>
    <w:p w14:paraId="21EDFA71"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 The representation of Adivasi communities in Indian cinema has long been characterized by stereotypical portrayals that reduce complex tribal societies to exotic backdrops for mainstream narratives. In Malayalam cinema, while parallel filmmaking has made significant strides in authentic representation, the mainstream industry has traditionally marginalized </w:t>
      </w:r>
      <w:r>
        <w:rPr>
          <w:rFonts w:ascii="Calibri" w:eastAsia="Calibri" w:hAnsi="Calibri" w:cs="Calibri"/>
        </w:rPr>
        <w:lastRenderedPageBreak/>
        <w:t xml:space="preserve">Adivasi voices, particularly those of women. However, the emergence of </w:t>
      </w:r>
      <w:proofErr w:type="spellStart"/>
      <w:r>
        <w:rPr>
          <w:rFonts w:ascii="Calibri" w:eastAsia="Calibri" w:hAnsi="Calibri" w:cs="Calibri"/>
        </w:rPr>
        <w:t>Nanjiyamma</w:t>
      </w:r>
      <w:proofErr w:type="spellEnd"/>
      <w:r>
        <w:rPr>
          <w:rFonts w:ascii="Calibri" w:eastAsia="Calibri" w:hAnsi="Calibri" w:cs="Calibri"/>
        </w:rPr>
        <w:t xml:space="preserve">, an </w:t>
      </w:r>
      <w:proofErr w:type="spellStart"/>
      <w:r>
        <w:rPr>
          <w:rFonts w:ascii="Calibri" w:eastAsia="Calibri" w:hAnsi="Calibri" w:cs="Calibri"/>
        </w:rPr>
        <w:t>Irula</w:t>
      </w:r>
      <w:proofErr w:type="spellEnd"/>
      <w:r>
        <w:rPr>
          <w:rFonts w:ascii="Calibri" w:eastAsia="Calibri" w:hAnsi="Calibri" w:cs="Calibri"/>
        </w:rPr>
        <w:t xml:space="preserve"> folk artist from </w:t>
      </w:r>
      <w:proofErr w:type="spellStart"/>
      <w:r>
        <w:rPr>
          <w:rFonts w:ascii="Calibri" w:eastAsia="Calibri" w:hAnsi="Calibri" w:cs="Calibri"/>
        </w:rPr>
        <w:t>Attappadi</w:t>
      </w:r>
      <w:proofErr w:type="spellEnd"/>
      <w:r>
        <w:rPr>
          <w:rFonts w:ascii="Calibri" w:eastAsia="Calibri" w:hAnsi="Calibri" w:cs="Calibri"/>
        </w:rPr>
        <w:t>, Kerala, represents a paradigmatic shift in how tribal voices can penetrate and transform dominant cultural narratives.</w:t>
      </w:r>
    </w:p>
    <w:p w14:paraId="41AD7B45" w14:textId="77777777" w:rsidR="003934E1" w:rsidRDefault="00000000">
      <w:pPr>
        <w:spacing w:before="280" w:after="280" w:line="360" w:lineRule="auto"/>
        <w:jc w:val="both"/>
        <w:rPr>
          <w:rFonts w:ascii="Calibri" w:eastAsia="Calibri" w:hAnsi="Calibri" w:cs="Calibri"/>
        </w:rPr>
      </w:pPr>
      <w:proofErr w:type="spellStart"/>
      <w:r>
        <w:rPr>
          <w:rFonts w:ascii="Calibri" w:eastAsia="Calibri" w:hAnsi="Calibri" w:cs="Calibri"/>
        </w:rPr>
        <w:t>Nanjiyamma's</w:t>
      </w:r>
      <w:proofErr w:type="spellEnd"/>
      <w:r>
        <w:rPr>
          <w:rFonts w:ascii="Calibri" w:eastAsia="Calibri" w:hAnsi="Calibri" w:cs="Calibri"/>
        </w:rPr>
        <w:t xml:space="preserve"> journey from the tribal hamlet of </w:t>
      </w:r>
      <w:proofErr w:type="spellStart"/>
      <w:r>
        <w:rPr>
          <w:rFonts w:ascii="Calibri" w:eastAsia="Calibri" w:hAnsi="Calibri" w:cs="Calibri"/>
        </w:rPr>
        <w:t>Nakkupathi</w:t>
      </w:r>
      <w:proofErr w:type="spellEnd"/>
      <w:r>
        <w:rPr>
          <w:rFonts w:ascii="Calibri" w:eastAsia="Calibri" w:hAnsi="Calibri" w:cs="Calibri"/>
        </w:rPr>
        <w:t xml:space="preserve"> </w:t>
      </w:r>
      <w:proofErr w:type="spellStart"/>
      <w:r>
        <w:rPr>
          <w:rFonts w:ascii="Calibri" w:eastAsia="Calibri" w:hAnsi="Calibri" w:cs="Calibri"/>
        </w:rPr>
        <w:t>Pirivu</w:t>
      </w:r>
      <w:proofErr w:type="spellEnd"/>
      <w:r>
        <w:rPr>
          <w:rFonts w:ascii="Calibri" w:eastAsia="Calibri" w:hAnsi="Calibri" w:cs="Calibri"/>
        </w:rPr>
        <w:t xml:space="preserve"> to the national stage through her song </w:t>
      </w:r>
      <w:proofErr w:type="spellStart"/>
      <w:r>
        <w:rPr>
          <w:rFonts w:ascii="Calibri" w:eastAsia="Calibri" w:hAnsi="Calibri" w:cs="Calibri"/>
          <w:i/>
        </w:rPr>
        <w:t>Kalakkatha</w:t>
      </w:r>
      <w:proofErr w:type="spellEnd"/>
      <w:r>
        <w:rPr>
          <w:rFonts w:ascii="Calibri" w:eastAsia="Calibri" w:hAnsi="Calibri" w:cs="Calibri"/>
          <w:i/>
        </w:rPr>
        <w:t xml:space="preserve"> Sandana Meram</w:t>
      </w:r>
      <w:r>
        <w:rPr>
          <w:rFonts w:ascii="Calibri" w:eastAsia="Calibri" w:hAnsi="Calibri" w:cs="Calibri"/>
        </w:rPr>
        <w:t xml:space="preserve"> in the 2020 Malayalam film </w:t>
      </w:r>
      <w:proofErr w:type="spellStart"/>
      <w:r>
        <w:rPr>
          <w:rFonts w:ascii="Calibri" w:eastAsia="Calibri" w:hAnsi="Calibri" w:cs="Calibri"/>
          <w:i/>
        </w:rPr>
        <w:t>Ayyappanum</w:t>
      </w:r>
      <w:proofErr w:type="spellEnd"/>
      <w:r>
        <w:rPr>
          <w:rFonts w:ascii="Calibri" w:eastAsia="Calibri" w:hAnsi="Calibri" w:cs="Calibri"/>
          <w:i/>
        </w:rPr>
        <w:t xml:space="preserve"> </w:t>
      </w:r>
      <w:proofErr w:type="spellStart"/>
      <w:r>
        <w:rPr>
          <w:rFonts w:ascii="Calibri" w:eastAsia="Calibri" w:hAnsi="Calibri" w:cs="Calibri"/>
          <w:i/>
        </w:rPr>
        <w:t>Koshiyum</w:t>
      </w:r>
      <w:proofErr w:type="spellEnd"/>
      <w:r>
        <w:rPr>
          <w:rFonts w:ascii="Calibri" w:eastAsia="Calibri" w:hAnsi="Calibri" w:cs="Calibri"/>
        </w:rPr>
        <w:t xml:space="preserve"> marks a historic moment in the democratization of cultural representation. Her success challenges existing hierarchies in the music industry and demonstrates how indigenous oral traditions can thrive in digital and commercial spaces while maintaining their authenticity.</w:t>
      </w:r>
    </w:p>
    <w:p w14:paraId="375EE514"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This paper examines </w:t>
      </w:r>
      <w:proofErr w:type="spellStart"/>
      <w:r>
        <w:rPr>
          <w:rFonts w:ascii="Calibri" w:eastAsia="Calibri" w:hAnsi="Calibri" w:cs="Calibri"/>
        </w:rPr>
        <w:t>Nanjiyamma's</w:t>
      </w:r>
      <w:proofErr w:type="spellEnd"/>
      <w:r>
        <w:rPr>
          <w:rFonts w:ascii="Calibri" w:eastAsia="Calibri" w:hAnsi="Calibri" w:cs="Calibri"/>
        </w:rPr>
        <w:t xml:space="preserve"> cultural significance within the broader context of Adivasi representation in Malayalam cinema, </w:t>
      </w:r>
      <w:proofErr w:type="spellStart"/>
      <w:r>
        <w:rPr>
          <w:rFonts w:ascii="Calibri" w:eastAsia="Calibri" w:hAnsi="Calibri" w:cs="Calibri"/>
        </w:rPr>
        <w:t>analyzing</w:t>
      </w:r>
      <w:proofErr w:type="spellEnd"/>
      <w:r>
        <w:rPr>
          <w:rFonts w:ascii="Calibri" w:eastAsia="Calibri" w:hAnsi="Calibri" w:cs="Calibri"/>
        </w:rPr>
        <w:t xml:space="preserve"> how her work functions as both cultural preservation and resistance. By situating her achievement within frameworks of tribal identity, performance, and language politics, this study argues that the </w:t>
      </w:r>
      <w:proofErr w:type="spellStart"/>
      <w:r>
        <w:rPr>
          <w:rFonts w:ascii="Calibri" w:eastAsia="Calibri" w:hAnsi="Calibri" w:cs="Calibri"/>
        </w:rPr>
        <w:t>Irula</w:t>
      </w:r>
      <w:proofErr w:type="spellEnd"/>
      <w:r>
        <w:rPr>
          <w:rFonts w:ascii="Calibri" w:eastAsia="Calibri" w:hAnsi="Calibri" w:cs="Calibri"/>
        </w:rPr>
        <w:t xml:space="preserve"> community's folk traditions are not static remnants but evolving cultural assets that bridge tradition and modernity.</w:t>
      </w:r>
    </w:p>
    <w:p w14:paraId="4E86F007" w14:textId="77777777" w:rsidR="003934E1" w:rsidRDefault="00000000">
      <w:pPr>
        <w:spacing w:before="280" w:after="280" w:line="360" w:lineRule="auto"/>
        <w:jc w:val="both"/>
        <w:rPr>
          <w:rFonts w:ascii="Calibri" w:eastAsia="Calibri" w:hAnsi="Calibri" w:cs="Calibri"/>
          <w:b/>
          <w:sz w:val="28"/>
          <w:szCs w:val="28"/>
        </w:rPr>
      </w:pPr>
      <w:r>
        <w:rPr>
          <w:rFonts w:ascii="Calibri" w:eastAsia="Calibri" w:hAnsi="Calibri" w:cs="Calibri"/>
          <w:b/>
          <w:sz w:val="28"/>
          <w:szCs w:val="28"/>
        </w:rPr>
        <w:t>Adivasi Woman in New Age Malayalam Parallel cinema</w:t>
      </w:r>
    </w:p>
    <w:p w14:paraId="29B32C7D"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 The surfs created by the New Wave Cinema created ripples in movies dealing with tribal themes. Presently, Malayalam parallel cinema justly portrays tribal lives in transition. </w:t>
      </w:r>
      <w:proofErr w:type="spellStart"/>
      <w:r>
        <w:rPr>
          <w:rFonts w:ascii="Calibri" w:eastAsia="Calibri" w:hAnsi="Calibri" w:cs="Calibri"/>
        </w:rPr>
        <w:t>Velutha</w:t>
      </w:r>
      <w:proofErr w:type="spellEnd"/>
      <w:r>
        <w:rPr>
          <w:rFonts w:ascii="Calibri" w:eastAsia="Calibri" w:hAnsi="Calibri" w:cs="Calibri"/>
        </w:rPr>
        <w:t xml:space="preserve"> </w:t>
      </w:r>
      <w:proofErr w:type="spellStart"/>
      <w:r>
        <w:rPr>
          <w:rFonts w:ascii="Calibri" w:eastAsia="Calibri" w:hAnsi="Calibri" w:cs="Calibri"/>
        </w:rPr>
        <w:t>Raathrikal</w:t>
      </w:r>
      <w:proofErr w:type="spellEnd"/>
      <w:r>
        <w:rPr>
          <w:rFonts w:ascii="Calibri" w:eastAsia="Calibri" w:hAnsi="Calibri" w:cs="Calibri"/>
        </w:rPr>
        <w:t xml:space="preserve"> (2015), an independent cinematic adaptation of the eponymous novel by Fyodor Dostoevsky and directed by Razi Muhammad, ushers in a fresh change to the set pattern in the portrayal of Adivasi womanhood. Right from the casting of Smitha Ambu as Chelly and her meticulous delivery of dialogues intermixing </w:t>
      </w:r>
      <w:proofErr w:type="spellStart"/>
      <w:r>
        <w:rPr>
          <w:rFonts w:ascii="Calibri" w:eastAsia="Calibri" w:hAnsi="Calibri" w:cs="Calibri"/>
        </w:rPr>
        <w:t>Irula</w:t>
      </w:r>
      <w:proofErr w:type="spellEnd"/>
      <w:r>
        <w:rPr>
          <w:rFonts w:ascii="Calibri" w:eastAsia="Calibri" w:hAnsi="Calibri" w:cs="Calibri"/>
        </w:rPr>
        <w:t xml:space="preserve"> dialect with standard Malayalam to the impeccable cinematography capturing the verdant forest tracks of </w:t>
      </w:r>
      <w:proofErr w:type="spellStart"/>
      <w:r>
        <w:rPr>
          <w:rFonts w:ascii="Calibri" w:eastAsia="Calibri" w:hAnsi="Calibri" w:cs="Calibri"/>
        </w:rPr>
        <w:t>Attapady</w:t>
      </w:r>
      <w:proofErr w:type="spellEnd"/>
      <w:r>
        <w:rPr>
          <w:rFonts w:ascii="Calibri" w:eastAsia="Calibri" w:hAnsi="Calibri" w:cs="Calibri"/>
        </w:rPr>
        <w:t xml:space="preserve">, this movie is a realistic portrayal of the tribal lives in transition. The movie’s central character is Chelly, an Adivasi woman from the </w:t>
      </w:r>
      <w:proofErr w:type="spellStart"/>
      <w:r>
        <w:rPr>
          <w:rFonts w:ascii="Calibri" w:eastAsia="Calibri" w:hAnsi="Calibri" w:cs="Calibri"/>
        </w:rPr>
        <w:t>Attapady</w:t>
      </w:r>
      <w:proofErr w:type="spellEnd"/>
      <w:r>
        <w:rPr>
          <w:rFonts w:ascii="Calibri" w:eastAsia="Calibri" w:hAnsi="Calibri" w:cs="Calibri"/>
        </w:rPr>
        <w:t xml:space="preserve"> region in Kerala. The </w:t>
      </w:r>
      <w:proofErr w:type="spellStart"/>
      <w:r>
        <w:rPr>
          <w:rFonts w:ascii="Calibri" w:eastAsia="Calibri" w:hAnsi="Calibri" w:cs="Calibri"/>
        </w:rPr>
        <w:t>Irulars</w:t>
      </w:r>
      <w:proofErr w:type="spellEnd"/>
      <w:r>
        <w:rPr>
          <w:rFonts w:ascii="Calibri" w:eastAsia="Calibri" w:hAnsi="Calibri" w:cs="Calibri"/>
        </w:rPr>
        <w:t xml:space="preserve"> depicted on the screen do not wear gaudy ornaments or scanty clothes to please the audience. Chelly is often spotted wearing bright yellow coloured churidars and sarees which best match the fashion trends of 2015. Chelly is neither illiterate nor is she naïve. She has acquired higher secondary education and even went on to study at a nearby college in Palghat. Chelly was also a champion in </w:t>
      </w:r>
      <w:r>
        <w:rPr>
          <w:rFonts w:ascii="Calibri" w:eastAsia="Calibri" w:hAnsi="Calibri" w:cs="Calibri"/>
        </w:rPr>
        <w:lastRenderedPageBreak/>
        <w:t xml:space="preserve">various sports events during her school and college days. Nevertheless, one day, as she stood on the winner’s podium, she faced ridicule from the mainstream male students in her college as they taunted her as well as other women belonging to the tribal community as “unclad tribal girls from </w:t>
      </w:r>
      <w:proofErr w:type="spellStart"/>
      <w:r>
        <w:rPr>
          <w:rFonts w:ascii="Calibri" w:eastAsia="Calibri" w:hAnsi="Calibri" w:cs="Calibri"/>
        </w:rPr>
        <w:t>Attapady</w:t>
      </w:r>
      <w:proofErr w:type="spellEnd"/>
      <w:r>
        <w:rPr>
          <w:rFonts w:ascii="Calibri" w:eastAsia="Calibri" w:hAnsi="Calibri" w:cs="Calibri"/>
        </w:rPr>
        <w:t xml:space="preserve">” (Razi, 2016, 54:50). This acerbic comment haunts Chelly to the core. She describes that the raw wound never healed. She even decides to quit her studies but is reprimanded by her soulmate Jyothi. The Scheduled Tribes in Kerala have an impressive record in literacy rates, approximately 74.44% (Kerala State Planning Board, 2017), whereas the national average is 68.5%. However, the 2013 Report on the Social Economic Status of Scheduled Tribes in Kerala shows that a whopping 85.59% of girl students dropped out of school at the secondary level. At the graduation level, there is a slump in the percentage of dropouts, with the statistics showing 12.98% of dropouts among girl students. (Scheduled Tribes Development Department, 2013) The fact that graduates could earn remunerative jobs attracts the young generation of Adivasis to pursue a graduate-level degree. Apart from that, the offer of a lucrative government job encourages them to study even harder. However, in schools and colleges, they face varying levels of discrimination. Body shaming is a routine that they can seldom surpass, often resulting in a lowering of self-esteem, eventually leading to massive dropouts from schools and colleges. This aspect got seldom represented in movies portraying Adivasi characters. Stereotypical tropes often presented Adivasi men and women as having lower intellectual acumen. Thus, the movie </w:t>
      </w:r>
      <w:proofErr w:type="spellStart"/>
      <w:r>
        <w:rPr>
          <w:rFonts w:ascii="Calibri" w:eastAsia="Calibri" w:hAnsi="Calibri" w:cs="Calibri"/>
        </w:rPr>
        <w:t>Velutha</w:t>
      </w:r>
      <w:proofErr w:type="spellEnd"/>
      <w:r>
        <w:rPr>
          <w:rFonts w:ascii="Calibri" w:eastAsia="Calibri" w:hAnsi="Calibri" w:cs="Calibri"/>
        </w:rPr>
        <w:t xml:space="preserve"> </w:t>
      </w:r>
      <w:proofErr w:type="spellStart"/>
      <w:r>
        <w:rPr>
          <w:rFonts w:ascii="Calibri" w:eastAsia="Calibri" w:hAnsi="Calibri" w:cs="Calibri"/>
        </w:rPr>
        <w:t>Raathrikal</w:t>
      </w:r>
      <w:proofErr w:type="spellEnd"/>
      <w:r>
        <w:rPr>
          <w:rFonts w:ascii="Calibri" w:eastAsia="Calibri" w:hAnsi="Calibri" w:cs="Calibri"/>
        </w:rPr>
        <w:t xml:space="preserve"> depicts the Adivasi life in transition with utmost sincerity. The central focus of </w:t>
      </w:r>
      <w:proofErr w:type="spellStart"/>
      <w:r>
        <w:rPr>
          <w:rFonts w:ascii="Calibri" w:eastAsia="Calibri" w:hAnsi="Calibri" w:cs="Calibri"/>
        </w:rPr>
        <w:t>Velutha</w:t>
      </w:r>
      <w:proofErr w:type="spellEnd"/>
      <w:r>
        <w:rPr>
          <w:rFonts w:ascii="Calibri" w:eastAsia="Calibri" w:hAnsi="Calibri" w:cs="Calibri"/>
        </w:rPr>
        <w:t xml:space="preserve"> </w:t>
      </w:r>
      <w:proofErr w:type="spellStart"/>
      <w:r>
        <w:rPr>
          <w:rFonts w:ascii="Calibri" w:eastAsia="Calibri" w:hAnsi="Calibri" w:cs="Calibri"/>
        </w:rPr>
        <w:t>Raathrikal</w:t>
      </w:r>
      <w:proofErr w:type="spellEnd"/>
      <w:r>
        <w:rPr>
          <w:rFonts w:ascii="Calibri" w:eastAsia="Calibri" w:hAnsi="Calibri" w:cs="Calibri"/>
        </w:rPr>
        <w:t xml:space="preserve"> falls on the sexual and economic liberation of Chelly. The film carefully delineates her bisexual identity by depicting her mutual attraction to Manu and Jyothi. Her love is reciprocated by both of them. Though the plotline at first glance might seem sensationalist, the director has taken caution to sensitise the audience to the theme at hand. The tribal community is depicted as being deeply homophobic, with her grandmother prescribing marriage for Chelly for her vagrant transgression. She is married off to her cousin Udayan. Soon after her marriage, Chelly is displaced to Coimbatore as her husband Udayan migrates to the nearby city in search of pastures new. A 1987 study conducted by Walter Fernandes and Geetha Menon (as cited in Fernandes 2005) revealed that development-induced displacement has a higher impact on tribal women than men. Earlier, in the primitive tradition of shifting cultivation, men and women shared the equal work burden. “. . . The man as the head of the family chose the land he would cultivate and performed religious rites symbolising the beginning of cultivation. At </w:t>
      </w:r>
      <w:r>
        <w:rPr>
          <w:rFonts w:ascii="Calibri" w:eastAsia="Calibri" w:hAnsi="Calibri" w:cs="Calibri"/>
        </w:rPr>
        <w:lastRenderedPageBreak/>
        <w:t xml:space="preserve">this stage, the woman took charge of it and organised production and work. As a result, the division of work was more gender-friendly in shifting cultivation than in settled agriculture” (Fernandes, 2005, p. 71). Since women exerted equal control over the family economy and its sustenance, they enjoyed a higher status and decision-making power within the family. However, in the current age, this equation has changed. Individual land ownership alienated families from their natural resources and sources of sustenance. The community support system weakened, and women lost their relative autonomy. In the movie </w:t>
      </w:r>
      <w:proofErr w:type="spellStart"/>
      <w:r>
        <w:rPr>
          <w:rFonts w:ascii="Calibri" w:eastAsia="Calibri" w:hAnsi="Calibri" w:cs="Calibri"/>
        </w:rPr>
        <w:t>Velutha</w:t>
      </w:r>
      <w:proofErr w:type="spellEnd"/>
      <w:r>
        <w:rPr>
          <w:rFonts w:ascii="Calibri" w:eastAsia="Calibri" w:hAnsi="Calibri" w:cs="Calibri"/>
        </w:rPr>
        <w:t xml:space="preserve"> </w:t>
      </w:r>
      <w:proofErr w:type="spellStart"/>
      <w:r>
        <w:rPr>
          <w:rFonts w:ascii="Calibri" w:eastAsia="Calibri" w:hAnsi="Calibri" w:cs="Calibri"/>
        </w:rPr>
        <w:t>Raathrikal</w:t>
      </w:r>
      <w:proofErr w:type="spellEnd"/>
      <w:r>
        <w:rPr>
          <w:rFonts w:ascii="Calibri" w:eastAsia="Calibri" w:hAnsi="Calibri" w:cs="Calibri"/>
        </w:rPr>
        <w:t>, Chelly is forced to work night shifts in a cloth mill for a paltry sum of 4000 rupees per month so that her husband could quench his thirst for liquor. Alcoholism has always been a bane to the Adivasi women who provided provisions for the household. In a qualitative study conducted on the tribal men of Wayanad as a part of the Tribal Mental Health Project funded by the Social Justice Department, Gov. of Kerala, it was revealed that parental factors, home environment, peer factors and early financial autonomy contributed to the initiation of the tribal youth to alcoholism. (</w:t>
      </w:r>
      <w:proofErr w:type="spellStart"/>
      <w:r>
        <w:rPr>
          <w:rFonts w:ascii="Calibri" w:eastAsia="Calibri" w:hAnsi="Calibri" w:cs="Calibri"/>
        </w:rPr>
        <w:t>Sadath</w:t>
      </w:r>
      <w:proofErr w:type="spellEnd"/>
      <w:r>
        <w:rPr>
          <w:rFonts w:ascii="Calibri" w:eastAsia="Calibri" w:hAnsi="Calibri" w:cs="Calibri"/>
        </w:rPr>
        <w:t xml:space="preserve"> et.al. 2019) The alcohol abuse among the tribal men was also linked with their tradition and culture, whereby the consumption of alcohol was concomitant with many important life events in an Adivasi man’s life. Besides, several landlords lured the Adivasi youth into doing the work on their farmlands by enticing them with an offer of alcohol in return for the work done, “As male members spend almost all their wages on alcohol, the financial needs of the family are often met by the women of the household. Such situations demand the tribal women to go for work to run the family, this additional role, along with the existing housewife role, contributes to a high level of burden on them” (</w:t>
      </w:r>
      <w:proofErr w:type="spellStart"/>
      <w:r>
        <w:rPr>
          <w:rFonts w:ascii="Calibri" w:eastAsia="Calibri" w:hAnsi="Calibri" w:cs="Calibri"/>
        </w:rPr>
        <w:t>Sadath</w:t>
      </w:r>
      <w:proofErr w:type="spellEnd"/>
      <w:r>
        <w:rPr>
          <w:rFonts w:ascii="Calibri" w:eastAsia="Calibri" w:hAnsi="Calibri" w:cs="Calibri"/>
        </w:rPr>
        <w:t xml:space="preserve"> et al., 2019, p. 520). Thus, even in the advanced stages of her pregnancy, Udayan asks Chelly to work to maintain his overdependence on alcohol. However, their marriage is short-lived as her drunkard husband deserts her to remarry another tribal woman. In such a conjecture, her financial independence enables Chelly to break free from an abusive marriage when her husband questions the paternity of her unborn child.</w:t>
      </w:r>
    </w:p>
    <w:p w14:paraId="59BE791F"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portrayal of Adivasi communities in Malayalam cinema has undergone significant evolution over the decades. Early Malayalam films, influenced by Hollywood's Tarzan narratives, depicted tribal characters as exotic others who existed primarily to serve the narratives of non-tribal protagonists. As Anupama A.L. observes, these early portrayals were characterized by the objectification of tribal populations to cater to mainstream audience </w:t>
      </w:r>
      <w:r>
        <w:rPr>
          <w:rFonts w:ascii="Calibri" w:eastAsia="Calibri" w:hAnsi="Calibri" w:cs="Calibri"/>
        </w:rPr>
        <w:lastRenderedPageBreak/>
        <w:t>fetishes, with Adivasi women reduced to generic stereotypes occupying the fringes of film narratives.</w:t>
      </w:r>
    </w:p>
    <w:p w14:paraId="7B397F90"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1970s marked a shift toward focusing on outsider perspectives of tribal ethos, influenced by literary works of writers like P. Valsala and </w:t>
      </w:r>
      <w:proofErr w:type="spellStart"/>
      <w:r>
        <w:rPr>
          <w:rFonts w:ascii="Calibri" w:eastAsia="Calibri" w:hAnsi="Calibri" w:cs="Calibri"/>
        </w:rPr>
        <w:t>Malayatoor</w:t>
      </w:r>
      <w:proofErr w:type="spellEnd"/>
      <w:r>
        <w:rPr>
          <w:rFonts w:ascii="Calibri" w:eastAsia="Calibri" w:hAnsi="Calibri" w:cs="Calibri"/>
        </w:rPr>
        <w:t xml:space="preserve"> Ramakrishnan. However, even these supposedly progressive representations continued to portray tribals as superstitious and unhygienic, with tribal women roles often assigned to fair-skinned actresses whose bodies were either tanned or left unchanged to suit the role.</w:t>
      </w:r>
    </w:p>
    <w:p w14:paraId="67DFA754"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Malayalam parallel cinema has demonstrated more nuanced approaches to Adivasi representation. Films like </w:t>
      </w:r>
      <w:proofErr w:type="spellStart"/>
      <w:r>
        <w:rPr>
          <w:rFonts w:ascii="Calibri" w:eastAsia="Calibri" w:hAnsi="Calibri" w:cs="Calibri"/>
          <w:i/>
        </w:rPr>
        <w:t>Velutha</w:t>
      </w:r>
      <w:proofErr w:type="spellEnd"/>
      <w:r>
        <w:rPr>
          <w:rFonts w:ascii="Calibri" w:eastAsia="Calibri" w:hAnsi="Calibri" w:cs="Calibri"/>
          <w:i/>
        </w:rPr>
        <w:t xml:space="preserve"> </w:t>
      </w:r>
      <w:proofErr w:type="spellStart"/>
      <w:r>
        <w:rPr>
          <w:rFonts w:ascii="Calibri" w:eastAsia="Calibri" w:hAnsi="Calibri" w:cs="Calibri"/>
          <w:i/>
        </w:rPr>
        <w:t>Raathrikal</w:t>
      </w:r>
      <w:proofErr w:type="spellEnd"/>
      <w:r>
        <w:rPr>
          <w:rFonts w:ascii="Calibri" w:eastAsia="Calibri" w:hAnsi="Calibri" w:cs="Calibri"/>
        </w:rPr>
        <w:t xml:space="preserve"> (2015) and </w:t>
      </w:r>
      <w:proofErr w:type="spellStart"/>
      <w:r>
        <w:rPr>
          <w:rFonts w:ascii="Calibri" w:eastAsia="Calibri" w:hAnsi="Calibri" w:cs="Calibri"/>
          <w:i/>
        </w:rPr>
        <w:t>Udalaazham</w:t>
      </w:r>
      <w:proofErr w:type="spellEnd"/>
      <w:r>
        <w:rPr>
          <w:rFonts w:ascii="Calibri" w:eastAsia="Calibri" w:hAnsi="Calibri" w:cs="Calibri"/>
        </w:rPr>
        <w:t xml:space="preserve"> (2018) present Adivasi women as complex, resilient characters who navigate oppression while maintaining agency. These films address acute problems within Adivasi communities—educational discrimination, development-induced displacement, and the clash between traditional practices and modern laws—without resorting to romanticized depictions.</w:t>
      </w:r>
    </w:p>
    <w:p w14:paraId="0A2330A3"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concept of indigenous cinema encompasses films made by, with, or about indigenous peoples, often serving as vehicles for cultural preservation and political resistance. Indigenous filmmaking challenges dominant narratives by </w:t>
      </w:r>
      <w:proofErr w:type="spellStart"/>
      <w:r>
        <w:rPr>
          <w:rFonts w:ascii="Calibri" w:eastAsia="Calibri" w:hAnsi="Calibri" w:cs="Calibri"/>
        </w:rPr>
        <w:t>centering</w:t>
      </w:r>
      <w:proofErr w:type="spellEnd"/>
      <w:r>
        <w:rPr>
          <w:rFonts w:ascii="Calibri" w:eastAsia="Calibri" w:hAnsi="Calibri" w:cs="Calibri"/>
        </w:rPr>
        <w:t xml:space="preserve"> indigenous perspectives, languages, and worldviews. In the Indian context, the emergence of Adivasi auteurs like Leela Santhosh, who directed the short film </w:t>
      </w:r>
      <w:proofErr w:type="spellStart"/>
      <w:r>
        <w:rPr>
          <w:rFonts w:ascii="Calibri" w:eastAsia="Calibri" w:hAnsi="Calibri" w:cs="Calibri"/>
          <w:i/>
        </w:rPr>
        <w:t>Paikinjana</w:t>
      </w:r>
      <w:proofErr w:type="spellEnd"/>
      <w:r>
        <w:rPr>
          <w:rFonts w:ascii="Calibri" w:eastAsia="Calibri" w:hAnsi="Calibri" w:cs="Calibri"/>
          <w:i/>
        </w:rPr>
        <w:t xml:space="preserve"> Chiri</w:t>
      </w:r>
      <w:r>
        <w:rPr>
          <w:rFonts w:ascii="Calibri" w:eastAsia="Calibri" w:hAnsi="Calibri" w:cs="Calibri"/>
        </w:rPr>
        <w:t xml:space="preserve"> (2020) in the Paniya dialect, represents a growing movement toward authentic self-representation.</w:t>
      </w:r>
    </w:p>
    <w:p w14:paraId="030D9F02" w14:textId="77777777" w:rsidR="003934E1" w:rsidRDefault="00000000">
      <w:pPr>
        <w:spacing w:before="280" w:after="280" w:line="360" w:lineRule="auto"/>
        <w:jc w:val="both"/>
        <w:rPr>
          <w:rFonts w:ascii="Calibri" w:eastAsia="Calibri" w:hAnsi="Calibri" w:cs="Calibri"/>
        </w:rPr>
      </w:pPr>
      <w:proofErr w:type="spellStart"/>
      <w:r>
        <w:rPr>
          <w:rFonts w:ascii="Calibri" w:eastAsia="Calibri" w:hAnsi="Calibri" w:cs="Calibri"/>
        </w:rPr>
        <w:t>Nanjiyamma's</w:t>
      </w:r>
      <w:proofErr w:type="spellEnd"/>
      <w:r>
        <w:rPr>
          <w:rFonts w:ascii="Calibri" w:eastAsia="Calibri" w:hAnsi="Calibri" w:cs="Calibri"/>
        </w:rPr>
        <w:t xml:space="preserve"> contribution to </w:t>
      </w:r>
      <w:proofErr w:type="spellStart"/>
      <w:r>
        <w:rPr>
          <w:rFonts w:ascii="Calibri" w:eastAsia="Calibri" w:hAnsi="Calibri" w:cs="Calibri"/>
          <w:i/>
        </w:rPr>
        <w:t>Ayyappanum</w:t>
      </w:r>
      <w:proofErr w:type="spellEnd"/>
      <w:r>
        <w:rPr>
          <w:rFonts w:ascii="Calibri" w:eastAsia="Calibri" w:hAnsi="Calibri" w:cs="Calibri"/>
          <w:i/>
        </w:rPr>
        <w:t xml:space="preserve"> </w:t>
      </w:r>
      <w:proofErr w:type="spellStart"/>
      <w:r>
        <w:rPr>
          <w:rFonts w:ascii="Calibri" w:eastAsia="Calibri" w:hAnsi="Calibri" w:cs="Calibri"/>
          <w:i/>
        </w:rPr>
        <w:t>Koshiyum</w:t>
      </w:r>
      <w:proofErr w:type="spellEnd"/>
      <w:r>
        <w:rPr>
          <w:rFonts w:ascii="Calibri" w:eastAsia="Calibri" w:hAnsi="Calibri" w:cs="Calibri"/>
        </w:rPr>
        <w:t xml:space="preserve"> functions within this framework of indigenous cultural assertion. By composing and performing in her native </w:t>
      </w:r>
      <w:proofErr w:type="spellStart"/>
      <w:r>
        <w:rPr>
          <w:rFonts w:ascii="Calibri" w:eastAsia="Calibri" w:hAnsi="Calibri" w:cs="Calibri"/>
        </w:rPr>
        <w:t>Irula</w:t>
      </w:r>
      <w:proofErr w:type="spellEnd"/>
      <w:r>
        <w:rPr>
          <w:rFonts w:ascii="Calibri" w:eastAsia="Calibri" w:hAnsi="Calibri" w:cs="Calibri"/>
        </w:rPr>
        <w:t xml:space="preserve"> language within a mainstream commercial film, she carved out a space for authentic tribal expression in dominant cultural narratives.</w:t>
      </w:r>
    </w:p>
    <w:p w14:paraId="3C99AF46" w14:textId="77777777" w:rsidR="003934E1" w:rsidRDefault="003934E1">
      <w:pPr>
        <w:spacing w:before="280" w:after="280" w:line="360" w:lineRule="auto"/>
        <w:jc w:val="both"/>
        <w:rPr>
          <w:rFonts w:ascii="Calibri" w:eastAsia="Calibri" w:hAnsi="Calibri" w:cs="Calibri"/>
          <w:b/>
          <w:sz w:val="28"/>
          <w:szCs w:val="28"/>
        </w:rPr>
      </w:pPr>
    </w:p>
    <w:p w14:paraId="6EE5D5F7" w14:textId="77777777" w:rsidR="003934E1" w:rsidRDefault="00000000">
      <w:pPr>
        <w:spacing w:before="280" w:after="280" w:line="360" w:lineRule="auto"/>
        <w:jc w:val="both"/>
        <w:rPr>
          <w:rFonts w:ascii="Calibri" w:eastAsia="Calibri" w:hAnsi="Calibri" w:cs="Calibri"/>
          <w:b/>
          <w:sz w:val="28"/>
          <w:szCs w:val="28"/>
        </w:rPr>
      </w:pPr>
      <w:r>
        <w:rPr>
          <w:rFonts w:ascii="Calibri" w:eastAsia="Calibri" w:hAnsi="Calibri" w:cs="Calibri"/>
          <w:b/>
          <w:sz w:val="28"/>
          <w:szCs w:val="28"/>
        </w:rPr>
        <w:t xml:space="preserve">The </w:t>
      </w:r>
      <w:proofErr w:type="spellStart"/>
      <w:r>
        <w:rPr>
          <w:rFonts w:ascii="Calibri" w:eastAsia="Calibri" w:hAnsi="Calibri" w:cs="Calibri"/>
          <w:b/>
          <w:sz w:val="28"/>
          <w:szCs w:val="28"/>
        </w:rPr>
        <w:t>Irula</w:t>
      </w:r>
      <w:proofErr w:type="spellEnd"/>
      <w:r>
        <w:rPr>
          <w:rFonts w:ascii="Calibri" w:eastAsia="Calibri" w:hAnsi="Calibri" w:cs="Calibri"/>
          <w:b/>
          <w:sz w:val="28"/>
          <w:szCs w:val="28"/>
        </w:rPr>
        <w:t xml:space="preserve"> Community: Cultural Context and Challenges</w:t>
      </w:r>
    </w:p>
    <w:p w14:paraId="024E44CB"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Irula</w:t>
      </w:r>
      <w:proofErr w:type="spellEnd"/>
      <w:r>
        <w:rPr>
          <w:rFonts w:ascii="Calibri" w:eastAsia="Calibri" w:hAnsi="Calibri" w:cs="Calibri"/>
        </w:rPr>
        <w:t xml:space="preserve"> community, predominantly inhabiting the </w:t>
      </w:r>
      <w:proofErr w:type="spellStart"/>
      <w:r>
        <w:rPr>
          <w:rFonts w:ascii="Calibri" w:eastAsia="Calibri" w:hAnsi="Calibri" w:cs="Calibri"/>
        </w:rPr>
        <w:t>Attappadi</w:t>
      </w:r>
      <w:proofErr w:type="spellEnd"/>
      <w:r>
        <w:rPr>
          <w:rFonts w:ascii="Calibri" w:eastAsia="Calibri" w:hAnsi="Calibri" w:cs="Calibri"/>
        </w:rPr>
        <w:t xml:space="preserve"> region of Kerala, represents one of the indigenous tribal groups whose cultural practices and linguistic traditions have </w:t>
      </w:r>
      <w:r>
        <w:rPr>
          <w:rFonts w:ascii="Calibri" w:eastAsia="Calibri" w:hAnsi="Calibri" w:cs="Calibri"/>
        </w:rPr>
        <w:lastRenderedPageBreak/>
        <w:t xml:space="preserve">faced significant challenges from modernization and mainstream cultural hegemony. As a pastoral community traditionally engaged in cattle herding and forest-based livelihoods, the </w:t>
      </w:r>
      <w:proofErr w:type="spellStart"/>
      <w:r>
        <w:rPr>
          <w:rFonts w:ascii="Calibri" w:eastAsia="Calibri" w:hAnsi="Calibri" w:cs="Calibri"/>
        </w:rPr>
        <w:t>Irulas</w:t>
      </w:r>
      <w:proofErr w:type="spellEnd"/>
      <w:r>
        <w:rPr>
          <w:rFonts w:ascii="Calibri" w:eastAsia="Calibri" w:hAnsi="Calibri" w:cs="Calibri"/>
        </w:rPr>
        <w:t xml:space="preserve"> have maintained distinct cultural practices, including rich oral traditions manifested through folk songs, storytelling, and ritualistic performances.</w:t>
      </w:r>
    </w:p>
    <w:p w14:paraId="0FB1CDFB"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Irula</w:t>
      </w:r>
      <w:proofErr w:type="spellEnd"/>
      <w:r>
        <w:rPr>
          <w:rFonts w:ascii="Calibri" w:eastAsia="Calibri" w:hAnsi="Calibri" w:cs="Calibri"/>
        </w:rPr>
        <w:t xml:space="preserve"> dialect, primarily oral and increasingly endangered, serves as a repository of the community's collective memory, ecological knowledge, and cultural wisdom. Language loss among tribal communities often signals broader cultural erosion, making </w:t>
      </w:r>
      <w:proofErr w:type="spellStart"/>
      <w:r>
        <w:rPr>
          <w:rFonts w:ascii="Calibri" w:eastAsia="Calibri" w:hAnsi="Calibri" w:cs="Calibri"/>
        </w:rPr>
        <w:t>Nanjiyamma's</w:t>
      </w:r>
      <w:proofErr w:type="spellEnd"/>
      <w:r>
        <w:rPr>
          <w:rFonts w:ascii="Calibri" w:eastAsia="Calibri" w:hAnsi="Calibri" w:cs="Calibri"/>
        </w:rPr>
        <w:t xml:space="preserve"> use of </w:t>
      </w:r>
      <w:proofErr w:type="spellStart"/>
      <w:r>
        <w:rPr>
          <w:rFonts w:ascii="Calibri" w:eastAsia="Calibri" w:hAnsi="Calibri" w:cs="Calibri"/>
        </w:rPr>
        <w:t>Irula</w:t>
      </w:r>
      <w:proofErr w:type="spellEnd"/>
      <w:r>
        <w:rPr>
          <w:rFonts w:ascii="Calibri" w:eastAsia="Calibri" w:hAnsi="Calibri" w:cs="Calibri"/>
        </w:rPr>
        <w:t xml:space="preserve"> in mainstream cinema particularly significant as an act of linguistic preservation and cultural assertion.</w:t>
      </w:r>
    </w:p>
    <w:p w14:paraId="3337CC6F"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Contemporary challenges facing the </w:t>
      </w:r>
      <w:proofErr w:type="spellStart"/>
      <w:r>
        <w:rPr>
          <w:rFonts w:ascii="Calibri" w:eastAsia="Calibri" w:hAnsi="Calibri" w:cs="Calibri"/>
        </w:rPr>
        <w:t>Irula</w:t>
      </w:r>
      <w:proofErr w:type="spellEnd"/>
      <w:r>
        <w:rPr>
          <w:rFonts w:ascii="Calibri" w:eastAsia="Calibri" w:hAnsi="Calibri" w:cs="Calibri"/>
        </w:rPr>
        <w:t xml:space="preserve"> community include educational discrimination, as evidenced by studies showing high dropout rates among tribal students who face body shaming and cultural alienation in mainstream educational institutions. Development-induced displacement has further weakened traditional community structures, leading to loss of traditional livelihoods and cultural practices.</w:t>
      </w:r>
    </w:p>
    <w:p w14:paraId="7EAA9C48" w14:textId="77777777" w:rsidR="003934E1" w:rsidRDefault="00000000">
      <w:pPr>
        <w:pStyle w:val="Heading2"/>
        <w:keepNext w:val="0"/>
        <w:keepLines w:val="0"/>
        <w:shd w:val="clear" w:color="auto" w:fill="FFFFFF"/>
        <w:spacing w:before="280" w:after="280" w:line="360" w:lineRule="auto"/>
        <w:jc w:val="both"/>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 xml:space="preserve">Dialectal Variations among </w:t>
      </w:r>
      <w:proofErr w:type="spellStart"/>
      <w:r>
        <w:rPr>
          <w:rFonts w:ascii="Times New Roman" w:eastAsia="Times New Roman" w:hAnsi="Times New Roman" w:cs="Times New Roman"/>
          <w:b/>
          <w:color w:val="222222"/>
          <w:sz w:val="28"/>
          <w:szCs w:val="28"/>
        </w:rPr>
        <w:t>Irula</w:t>
      </w:r>
      <w:proofErr w:type="spellEnd"/>
      <w:r>
        <w:rPr>
          <w:rFonts w:ascii="Times New Roman" w:eastAsia="Times New Roman" w:hAnsi="Times New Roman" w:cs="Times New Roman"/>
          <w:b/>
          <w:color w:val="222222"/>
          <w:sz w:val="28"/>
          <w:szCs w:val="28"/>
        </w:rPr>
        <w:t xml:space="preserve"> Adivasi Groups</w:t>
      </w:r>
    </w:p>
    <w:p w14:paraId="723A6DD0" w14:textId="77777777" w:rsidR="003934E1" w:rsidRDefault="00000000">
      <w:pPr>
        <w:shd w:val="clear" w:color="auto" w:fill="FFFFFF"/>
        <w:spacing w:before="280" w:after="28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The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language, belonging to the Dravidian language family, exhibits significant dialectal variations across different geographical regions and tribal subgroups. These variations reflect the complex linguistic landscape of the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communities and their interactions with surrounding languages and cultures. The language was first systematically described and classified by </w:t>
      </w:r>
      <w:proofErr w:type="spellStart"/>
      <w:r>
        <w:rPr>
          <w:rFonts w:ascii="Times New Roman" w:eastAsia="Times New Roman" w:hAnsi="Times New Roman" w:cs="Times New Roman"/>
          <w:color w:val="222222"/>
        </w:rPr>
        <w:t>indologist</w:t>
      </w:r>
      <w:proofErr w:type="spellEnd"/>
      <w:r>
        <w:rPr>
          <w:rFonts w:ascii="Times New Roman" w:eastAsia="Times New Roman" w:hAnsi="Times New Roman" w:cs="Times New Roman"/>
          <w:color w:val="222222"/>
        </w:rPr>
        <w:t xml:space="preserve"> Kamil </w:t>
      </w:r>
      <w:proofErr w:type="spellStart"/>
      <w:r>
        <w:rPr>
          <w:rFonts w:ascii="Times New Roman" w:eastAsia="Times New Roman" w:hAnsi="Times New Roman" w:cs="Times New Roman"/>
          <w:color w:val="222222"/>
        </w:rPr>
        <w:t>Zvelebil</w:t>
      </w:r>
      <w:proofErr w:type="spellEnd"/>
      <w:r>
        <w:rPr>
          <w:rFonts w:ascii="Times New Roman" w:eastAsia="Times New Roman" w:hAnsi="Times New Roman" w:cs="Times New Roman"/>
          <w:color w:val="222222"/>
        </w:rPr>
        <w:t xml:space="preserve"> in 1955, who demonstrated that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is an independent Southern Dravidian language closely related to Tamil, particularly Old Tamil, while incorporating some Kannada-like features.</w:t>
      </w:r>
    </w:p>
    <w:p w14:paraId="4693C7E9" w14:textId="77777777" w:rsidR="003934E1" w:rsidRDefault="00000000">
      <w:pPr>
        <w:shd w:val="clear" w:color="auto" w:fill="FFFFFF"/>
        <w:spacing w:before="280" w:after="28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According to </w:t>
      </w:r>
      <w:proofErr w:type="spellStart"/>
      <w:r>
        <w:rPr>
          <w:rFonts w:ascii="Times New Roman" w:eastAsia="Times New Roman" w:hAnsi="Times New Roman" w:cs="Times New Roman"/>
          <w:color w:val="222222"/>
        </w:rPr>
        <w:t>Zvelebil's</w:t>
      </w:r>
      <w:proofErr w:type="spellEnd"/>
      <w:r>
        <w:rPr>
          <w:rFonts w:ascii="Times New Roman" w:eastAsia="Times New Roman" w:hAnsi="Times New Roman" w:cs="Times New Roman"/>
          <w:color w:val="222222"/>
        </w:rPr>
        <w:t xml:space="preserve"> tentative hypothesis, a pre-Dravidian population that forms the anthropological bulk of the </w:t>
      </w:r>
      <w:proofErr w:type="spellStart"/>
      <w:r>
        <w:rPr>
          <w:rFonts w:ascii="Times New Roman" w:eastAsia="Times New Roman" w:hAnsi="Times New Roman" w:cs="Times New Roman"/>
          <w:color w:val="222222"/>
        </w:rPr>
        <w:t>Irulas</w:t>
      </w:r>
      <w:proofErr w:type="spellEnd"/>
      <w:r>
        <w:rPr>
          <w:rFonts w:ascii="Times New Roman" w:eastAsia="Times New Roman" w:hAnsi="Times New Roman" w:cs="Times New Roman"/>
          <w:color w:val="222222"/>
        </w:rPr>
        <w:t xml:space="preserve"> began speaking an ancient pre-Tamil or proto-Tamil dialect, which was superimposed almost entirely on their native pre-Dravidian speech. This linguistic foundation subsequently evolved through contact with other tribal languages of the </w:t>
      </w:r>
      <w:proofErr w:type="spellStart"/>
      <w:r>
        <w:rPr>
          <w:rFonts w:ascii="Times New Roman" w:eastAsia="Times New Roman" w:hAnsi="Times New Roman" w:cs="Times New Roman"/>
          <w:color w:val="222222"/>
        </w:rPr>
        <w:t>Nilgiri</w:t>
      </w:r>
      <w:proofErr w:type="spellEnd"/>
      <w:r>
        <w:rPr>
          <w:rFonts w:ascii="Times New Roman" w:eastAsia="Times New Roman" w:hAnsi="Times New Roman" w:cs="Times New Roman"/>
          <w:color w:val="222222"/>
        </w:rPr>
        <w:t xml:space="preserve"> area, as well as with major surrounding languages including Kannada, Tamil, and Malayalam.</w:t>
      </w:r>
    </w:p>
    <w:p w14:paraId="2E691F85" w14:textId="77777777" w:rsidR="003934E1" w:rsidRDefault="00000000">
      <w:pPr>
        <w:shd w:val="clear" w:color="auto" w:fill="FFFFFF"/>
        <w:spacing w:before="280" w:after="28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lastRenderedPageBreak/>
        <w:t xml:space="preserve">The dialectal variations among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groups can be categorized based on the dominant linguistic influences from </w:t>
      </w:r>
      <w:proofErr w:type="spellStart"/>
      <w:r>
        <w:rPr>
          <w:rFonts w:ascii="Times New Roman" w:eastAsia="Times New Roman" w:hAnsi="Times New Roman" w:cs="Times New Roman"/>
          <w:color w:val="222222"/>
        </w:rPr>
        <w:t>neighboring</w:t>
      </w:r>
      <w:proofErr w:type="spellEnd"/>
      <w:r>
        <w:rPr>
          <w:rFonts w:ascii="Times New Roman" w:eastAsia="Times New Roman" w:hAnsi="Times New Roman" w:cs="Times New Roman"/>
          <w:color w:val="222222"/>
        </w:rPr>
        <w:t xml:space="preserve"> languages. The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speakers whose language is influenced by Tamil are known as </w:t>
      </w:r>
      <w:proofErr w:type="spellStart"/>
      <w:r>
        <w:rPr>
          <w:rFonts w:ascii="Times New Roman" w:eastAsia="Times New Roman" w:hAnsi="Times New Roman" w:cs="Times New Roman"/>
          <w:color w:val="222222"/>
        </w:rPr>
        <w:t>veTTaka:kadu</w:t>
      </w:r>
      <w:proofErr w:type="spellEnd"/>
      <w:r>
        <w:rPr>
          <w:rFonts w:ascii="Times New Roman" w:eastAsia="Times New Roman" w:hAnsi="Times New Roman" w:cs="Times New Roman"/>
          <w:color w:val="222222"/>
        </w:rPr>
        <w:t xml:space="preserve"> and </w:t>
      </w:r>
      <w:proofErr w:type="spellStart"/>
      <w:r>
        <w:rPr>
          <w:rFonts w:ascii="Times New Roman" w:eastAsia="Times New Roman" w:hAnsi="Times New Roman" w:cs="Times New Roman"/>
          <w:color w:val="222222"/>
        </w:rPr>
        <w:t>me:lena:du</w:t>
      </w:r>
      <w:proofErr w:type="spellEnd"/>
      <w:r>
        <w:rPr>
          <w:rFonts w:ascii="Times New Roman" w:eastAsia="Times New Roman" w:hAnsi="Times New Roman" w:cs="Times New Roman"/>
          <w:color w:val="222222"/>
        </w:rPr>
        <w:t xml:space="preserve"> </w:t>
      </w:r>
      <w:proofErr w:type="spellStart"/>
      <w:r>
        <w:rPr>
          <w:rFonts w:ascii="Times New Roman" w:eastAsia="Times New Roman" w:hAnsi="Times New Roman" w:cs="Times New Roman"/>
          <w:color w:val="222222"/>
        </w:rPr>
        <w:t>Irulas</w:t>
      </w:r>
      <w:proofErr w:type="spellEnd"/>
      <w:r>
        <w:rPr>
          <w:rFonts w:ascii="Times New Roman" w:eastAsia="Times New Roman" w:hAnsi="Times New Roman" w:cs="Times New Roman"/>
          <w:color w:val="222222"/>
        </w:rPr>
        <w:t xml:space="preserve">. These groups demonstrate stronger Tamil linguistic features in their vocabulary, phonology, and grammatical structures. Similarly, Malayalam influences have created the </w:t>
      </w:r>
      <w:proofErr w:type="spellStart"/>
      <w:r>
        <w:rPr>
          <w:rFonts w:ascii="Times New Roman" w:eastAsia="Times New Roman" w:hAnsi="Times New Roman" w:cs="Times New Roman"/>
          <w:color w:val="222222"/>
        </w:rPr>
        <w:t>ura:Li</w:t>
      </w:r>
      <w:proofErr w:type="spellEnd"/>
      <w:r>
        <w:rPr>
          <w:rFonts w:ascii="Times New Roman" w:eastAsia="Times New Roman" w:hAnsi="Times New Roman" w:cs="Times New Roman"/>
          <w:color w:val="222222"/>
        </w:rPr>
        <w:t xml:space="preserve">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dialect, while Kannada influence has resulted in the </w:t>
      </w:r>
      <w:proofErr w:type="spellStart"/>
      <w:r>
        <w:rPr>
          <w:rFonts w:ascii="Times New Roman" w:eastAsia="Times New Roman" w:hAnsi="Times New Roman" w:cs="Times New Roman"/>
          <w:color w:val="222222"/>
        </w:rPr>
        <w:t>kasaba</w:t>
      </w:r>
      <w:proofErr w:type="spellEnd"/>
      <w:r>
        <w:rPr>
          <w:rFonts w:ascii="Times New Roman" w:eastAsia="Times New Roman" w:hAnsi="Times New Roman" w:cs="Times New Roman"/>
          <w:color w:val="222222"/>
        </w:rPr>
        <w:t xml:space="preserve">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variation. These dialectal differences are not merely academic classifications but reflect the lived experiences and geographical proximity of different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communities to various linguistic regions.</w:t>
      </w:r>
    </w:p>
    <w:p w14:paraId="11EAFE0C" w14:textId="77777777" w:rsidR="003934E1" w:rsidRDefault="00000000">
      <w:pPr>
        <w:shd w:val="clear" w:color="auto" w:fill="FFFFFF"/>
        <w:spacing w:before="280" w:after="28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The </w:t>
      </w:r>
      <w:proofErr w:type="spellStart"/>
      <w:r>
        <w:rPr>
          <w:rFonts w:ascii="Times New Roman" w:eastAsia="Times New Roman" w:hAnsi="Times New Roman" w:cs="Times New Roman"/>
          <w:color w:val="222222"/>
        </w:rPr>
        <w:t>Irulas</w:t>
      </w:r>
      <w:proofErr w:type="spellEnd"/>
      <w:r>
        <w:rPr>
          <w:rFonts w:ascii="Times New Roman" w:eastAsia="Times New Roman" w:hAnsi="Times New Roman" w:cs="Times New Roman"/>
          <w:color w:val="222222"/>
        </w:rPr>
        <w:t xml:space="preserve"> of Coimbatore district acknowledge that the </w:t>
      </w:r>
      <w:proofErr w:type="spellStart"/>
      <w:r>
        <w:rPr>
          <w:rFonts w:ascii="Times New Roman" w:eastAsia="Times New Roman" w:hAnsi="Times New Roman" w:cs="Times New Roman"/>
          <w:color w:val="222222"/>
        </w:rPr>
        <w:t>Irulas</w:t>
      </w:r>
      <w:proofErr w:type="spellEnd"/>
      <w:r>
        <w:rPr>
          <w:rFonts w:ascii="Times New Roman" w:eastAsia="Times New Roman" w:hAnsi="Times New Roman" w:cs="Times New Roman"/>
          <w:color w:val="222222"/>
        </w:rPr>
        <w:t xml:space="preserve"> of </w:t>
      </w:r>
      <w:proofErr w:type="spellStart"/>
      <w:r>
        <w:rPr>
          <w:rFonts w:ascii="Times New Roman" w:eastAsia="Times New Roman" w:hAnsi="Times New Roman" w:cs="Times New Roman"/>
          <w:color w:val="222222"/>
        </w:rPr>
        <w:t>Anamalai</w:t>
      </w:r>
      <w:proofErr w:type="spellEnd"/>
      <w:r>
        <w:rPr>
          <w:rFonts w:ascii="Times New Roman" w:eastAsia="Times New Roman" w:hAnsi="Times New Roman" w:cs="Times New Roman"/>
          <w:color w:val="222222"/>
        </w:rPr>
        <w:t xml:space="preserve"> hills and </w:t>
      </w:r>
      <w:proofErr w:type="spellStart"/>
      <w:r>
        <w:rPr>
          <w:rFonts w:ascii="Times New Roman" w:eastAsia="Times New Roman" w:hAnsi="Times New Roman" w:cs="Times New Roman"/>
          <w:color w:val="222222"/>
        </w:rPr>
        <w:t>Attappady</w:t>
      </w:r>
      <w:proofErr w:type="spellEnd"/>
      <w:r>
        <w:rPr>
          <w:rFonts w:ascii="Times New Roman" w:eastAsia="Times New Roman" w:hAnsi="Times New Roman" w:cs="Times New Roman"/>
          <w:color w:val="222222"/>
        </w:rPr>
        <w:t xml:space="preserve"> speak distinct dialects that differ from their own variety. This recognition of dialectal diversity within the community demonstrates the sophisticated understanding of linguistic variation that exists among the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people themselves. The </w:t>
      </w:r>
      <w:proofErr w:type="spellStart"/>
      <w:r>
        <w:rPr>
          <w:rFonts w:ascii="Times New Roman" w:eastAsia="Times New Roman" w:hAnsi="Times New Roman" w:cs="Times New Roman"/>
          <w:color w:val="222222"/>
        </w:rPr>
        <w:t>Irular</w:t>
      </w:r>
      <w:proofErr w:type="spellEnd"/>
      <w:r>
        <w:rPr>
          <w:rFonts w:ascii="Times New Roman" w:eastAsia="Times New Roman" w:hAnsi="Times New Roman" w:cs="Times New Roman"/>
          <w:color w:val="222222"/>
        </w:rPr>
        <w:t xml:space="preserve"> subgroup in Tamil Nadu speaks what is classified as a Tamil dialect, while other groups across the three states speak different dialects of the core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language.</w:t>
      </w:r>
    </w:p>
    <w:p w14:paraId="7F20C5D5" w14:textId="77777777" w:rsidR="003934E1" w:rsidRDefault="00000000">
      <w:pPr>
        <w:shd w:val="clear" w:color="auto" w:fill="FFFFFF"/>
        <w:spacing w:before="280" w:after="28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The maintenance of these dialectal variations despite geographic spread and external pressures speaks to the resilience of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linguistic identity. Each dialect carries specific cultural knowledge, traditional practices, and worldviews that are embedded in the language structure. The preservation of these dialects is crucial not only for linguistic diversity but also for maintaining the cultural specificity of different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communities.</w:t>
      </w:r>
    </w:p>
    <w:p w14:paraId="2752746A" w14:textId="77777777" w:rsidR="003934E1" w:rsidRDefault="00000000">
      <w:pPr>
        <w:pStyle w:val="Heading2"/>
        <w:keepNext w:val="0"/>
        <w:keepLines w:val="0"/>
        <w:shd w:val="clear" w:color="auto" w:fill="FFFFFF"/>
        <w:spacing w:before="280" w:after="280" w:line="360" w:lineRule="auto"/>
        <w:jc w:val="both"/>
        <w:rPr>
          <w:rFonts w:ascii="Times New Roman" w:eastAsia="Times New Roman" w:hAnsi="Times New Roman" w:cs="Times New Roman"/>
          <w:b/>
          <w:color w:val="222222"/>
          <w:sz w:val="28"/>
          <w:szCs w:val="28"/>
        </w:rPr>
      </w:pPr>
      <w:bookmarkStart w:id="13" w:name="_heading=h.282mvqj5arrn" w:colFirst="0" w:colLast="0"/>
      <w:bookmarkEnd w:id="13"/>
      <w:r>
        <w:rPr>
          <w:rFonts w:ascii="Times New Roman" w:eastAsia="Times New Roman" w:hAnsi="Times New Roman" w:cs="Times New Roman"/>
          <w:b/>
          <w:color w:val="222222"/>
          <w:sz w:val="28"/>
          <w:szCs w:val="28"/>
        </w:rPr>
        <w:t>Social Challenges and Discrimination</w:t>
      </w:r>
    </w:p>
    <w:p w14:paraId="2148DFE6" w14:textId="77777777" w:rsidR="003934E1" w:rsidRDefault="00000000">
      <w:pPr>
        <w:shd w:val="clear" w:color="auto" w:fill="FFFFFF"/>
        <w:spacing w:before="280" w:after="28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Despite their rich cultural heritage and valuable traditional knowledge, the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people face severe discrimination and harassment from other castes, with numerous cases reported annually. The discrimination manifests in various forms, from denial of educational and employment opportunities to physical violence and social ostracism. In 2020, a girl named </w:t>
      </w:r>
      <w:proofErr w:type="spellStart"/>
      <w:r>
        <w:rPr>
          <w:rFonts w:ascii="Times New Roman" w:eastAsia="Times New Roman" w:hAnsi="Times New Roman" w:cs="Times New Roman"/>
          <w:color w:val="222222"/>
        </w:rPr>
        <w:t>Dhanalaxmi</w:t>
      </w:r>
      <w:proofErr w:type="spellEnd"/>
      <w:r>
        <w:rPr>
          <w:rFonts w:ascii="Times New Roman" w:eastAsia="Times New Roman" w:hAnsi="Times New Roman" w:cs="Times New Roman"/>
          <w:color w:val="222222"/>
        </w:rPr>
        <w:t xml:space="preserve"> was assaulted and barred from obtaining a Scheduled Tribe certificate by members of the </w:t>
      </w:r>
      <w:proofErr w:type="spellStart"/>
      <w:r>
        <w:rPr>
          <w:rFonts w:ascii="Times New Roman" w:eastAsia="Times New Roman" w:hAnsi="Times New Roman" w:cs="Times New Roman"/>
          <w:color w:val="222222"/>
        </w:rPr>
        <w:t>Vanniyar</w:t>
      </w:r>
      <w:proofErr w:type="spellEnd"/>
      <w:r>
        <w:rPr>
          <w:rFonts w:ascii="Times New Roman" w:eastAsia="Times New Roman" w:hAnsi="Times New Roman" w:cs="Times New Roman"/>
          <w:color w:val="222222"/>
        </w:rPr>
        <w:t xml:space="preserve"> community in her village, highlighting the ongoing struggles for basic rights and recognition.</w:t>
      </w:r>
    </w:p>
    <w:p w14:paraId="03C248C9" w14:textId="77777777" w:rsidR="003934E1" w:rsidRDefault="00000000">
      <w:pPr>
        <w:shd w:val="clear" w:color="auto" w:fill="FFFFFF"/>
        <w:spacing w:before="280" w:after="28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More severe incidents have occurred, such as in Dharmapuri, where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people were physically assaulted and humiliated by a mob infuriated by an inter-caste marriage between an </w:t>
      </w:r>
      <w:proofErr w:type="spellStart"/>
      <w:r>
        <w:rPr>
          <w:rFonts w:ascii="Times New Roman" w:eastAsia="Times New Roman" w:hAnsi="Times New Roman" w:cs="Times New Roman"/>
          <w:color w:val="222222"/>
        </w:rPr>
        <w:lastRenderedPageBreak/>
        <w:t>Irula</w:t>
      </w:r>
      <w:proofErr w:type="spellEnd"/>
      <w:r>
        <w:rPr>
          <w:rFonts w:ascii="Times New Roman" w:eastAsia="Times New Roman" w:hAnsi="Times New Roman" w:cs="Times New Roman"/>
          <w:color w:val="222222"/>
        </w:rPr>
        <w:t xml:space="preserve"> man and a </w:t>
      </w:r>
      <w:proofErr w:type="spellStart"/>
      <w:r>
        <w:rPr>
          <w:rFonts w:ascii="Times New Roman" w:eastAsia="Times New Roman" w:hAnsi="Times New Roman" w:cs="Times New Roman"/>
          <w:color w:val="222222"/>
        </w:rPr>
        <w:t>Vanniyar</w:t>
      </w:r>
      <w:proofErr w:type="spellEnd"/>
      <w:r>
        <w:rPr>
          <w:rFonts w:ascii="Times New Roman" w:eastAsia="Times New Roman" w:hAnsi="Times New Roman" w:cs="Times New Roman"/>
          <w:color w:val="222222"/>
        </w:rPr>
        <w:t xml:space="preserve"> woman. These incidents reflect deep-seated caste prejudices that continue to plague Indian society and particularly affect tribal communities.</w:t>
      </w:r>
    </w:p>
    <w:p w14:paraId="4F6EEC68" w14:textId="77777777" w:rsidR="003934E1" w:rsidRDefault="00000000">
      <w:pPr>
        <w:shd w:val="clear" w:color="auto" w:fill="FFFFFF"/>
        <w:spacing w:before="280" w:after="28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The landmark case of Rajakannu vs. State of Tamil Nadu and Others in 1993 brought national attention to the systematic oppression faced by the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people. This case, fought in the Madras High Court, involved the death by torture of an </w:t>
      </w:r>
      <w:proofErr w:type="spellStart"/>
      <w:r>
        <w:rPr>
          <w:rFonts w:ascii="Times New Roman" w:eastAsia="Times New Roman" w:hAnsi="Times New Roman" w:cs="Times New Roman"/>
          <w:color w:val="222222"/>
        </w:rPr>
        <w:t>Irular</w:t>
      </w:r>
      <w:proofErr w:type="spellEnd"/>
      <w:r>
        <w:rPr>
          <w:rFonts w:ascii="Times New Roman" w:eastAsia="Times New Roman" w:hAnsi="Times New Roman" w:cs="Times New Roman"/>
          <w:color w:val="222222"/>
        </w:rPr>
        <w:t xml:space="preserve"> man held in police custody on false theft charges at the </w:t>
      </w:r>
      <w:proofErr w:type="spellStart"/>
      <w:r>
        <w:rPr>
          <w:rFonts w:ascii="Times New Roman" w:eastAsia="Times New Roman" w:hAnsi="Times New Roman" w:cs="Times New Roman"/>
          <w:color w:val="222222"/>
        </w:rPr>
        <w:t>Kammapuram</w:t>
      </w:r>
      <w:proofErr w:type="spellEnd"/>
      <w:r>
        <w:rPr>
          <w:rFonts w:ascii="Times New Roman" w:eastAsia="Times New Roman" w:hAnsi="Times New Roman" w:cs="Times New Roman"/>
          <w:color w:val="222222"/>
        </w:rPr>
        <w:t xml:space="preserve"> Police Station in </w:t>
      </w:r>
      <w:proofErr w:type="spellStart"/>
      <w:r>
        <w:rPr>
          <w:rFonts w:ascii="Times New Roman" w:eastAsia="Times New Roman" w:hAnsi="Times New Roman" w:cs="Times New Roman"/>
          <w:color w:val="222222"/>
        </w:rPr>
        <w:t>Cuddalore</w:t>
      </w:r>
      <w:proofErr w:type="spellEnd"/>
      <w:r>
        <w:rPr>
          <w:rFonts w:ascii="Times New Roman" w:eastAsia="Times New Roman" w:hAnsi="Times New Roman" w:cs="Times New Roman"/>
          <w:color w:val="222222"/>
        </w:rPr>
        <w:t xml:space="preserve"> district. The case, argued by K. Chandru, resulted in murder charges against three police officers and led to the establishment of the </w:t>
      </w:r>
      <w:proofErr w:type="spellStart"/>
      <w:r>
        <w:rPr>
          <w:rFonts w:ascii="Times New Roman" w:eastAsia="Times New Roman" w:hAnsi="Times New Roman" w:cs="Times New Roman"/>
          <w:color w:val="222222"/>
        </w:rPr>
        <w:t>Palangudi</w:t>
      </w:r>
      <w:proofErr w:type="spellEnd"/>
      <w:r>
        <w:rPr>
          <w:rFonts w:ascii="Times New Roman" w:eastAsia="Times New Roman" w:hAnsi="Times New Roman" w:cs="Times New Roman"/>
          <w:color w:val="222222"/>
        </w:rPr>
        <w:t xml:space="preserve"> </w:t>
      </w:r>
      <w:proofErr w:type="spellStart"/>
      <w:r>
        <w:rPr>
          <w:rFonts w:ascii="Times New Roman" w:eastAsia="Times New Roman" w:hAnsi="Times New Roman" w:cs="Times New Roman"/>
          <w:color w:val="222222"/>
        </w:rPr>
        <w:t>Irular</w:t>
      </w:r>
      <w:proofErr w:type="spellEnd"/>
      <w:r>
        <w:rPr>
          <w:rFonts w:ascii="Times New Roman" w:eastAsia="Times New Roman" w:hAnsi="Times New Roman" w:cs="Times New Roman"/>
          <w:color w:val="222222"/>
        </w:rPr>
        <w:t xml:space="preserve"> </w:t>
      </w:r>
      <w:proofErr w:type="spellStart"/>
      <w:r>
        <w:rPr>
          <w:rFonts w:ascii="Times New Roman" w:eastAsia="Times New Roman" w:hAnsi="Times New Roman" w:cs="Times New Roman"/>
          <w:color w:val="222222"/>
        </w:rPr>
        <w:t>Pathugaappu</w:t>
      </w:r>
      <w:proofErr w:type="spellEnd"/>
      <w:r>
        <w:rPr>
          <w:rFonts w:ascii="Times New Roman" w:eastAsia="Times New Roman" w:hAnsi="Times New Roman" w:cs="Times New Roman"/>
          <w:color w:val="222222"/>
        </w:rPr>
        <w:t xml:space="preserve"> Sangam (</w:t>
      </w:r>
      <w:proofErr w:type="spellStart"/>
      <w:r>
        <w:rPr>
          <w:rFonts w:ascii="Times New Roman" w:eastAsia="Times New Roman" w:hAnsi="Times New Roman" w:cs="Times New Roman"/>
          <w:color w:val="222222"/>
        </w:rPr>
        <w:t>Palangudi</w:t>
      </w:r>
      <w:proofErr w:type="spellEnd"/>
      <w:r>
        <w:rPr>
          <w:rFonts w:ascii="Times New Roman" w:eastAsia="Times New Roman" w:hAnsi="Times New Roman" w:cs="Times New Roman"/>
          <w:color w:val="222222"/>
        </w:rPr>
        <w:t xml:space="preserve"> </w:t>
      </w:r>
      <w:proofErr w:type="spellStart"/>
      <w:r>
        <w:rPr>
          <w:rFonts w:ascii="Times New Roman" w:eastAsia="Times New Roman" w:hAnsi="Times New Roman" w:cs="Times New Roman"/>
          <w:color w:val="222222"/>
        </w:rPr>
        <w:t>Irular</w:t>
      </w:r>
      <w:proofErr w:type="spellEnd"/>
      <w:r>
        <w:rPr>
          <w:rFonts w:ascii="Times New Roman" w:eastAsia="Times New Roman" w:hAnsi="Times New Roman" w:cs="Times New Roman"/>
          <w:color w:val="222222"/>
        </w:rPr>
        <w:t xml:space="preserve"> Protection Association) in 1996. This organization has since fought over 1,000 cases, primarily relating to false charges and human rights violations against the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community. The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community faces unique challenges regarding educational access and identity recognition, particularly those who have migrated or been forcibly displaced from their traditional hill habitats to plain areas. Activists argue that officials often interpret terminologies too literally, recognizing only hill-dwelling </w:t>
      </w:r>
      <w:proofErr w:type="spellStart"/>
      <w:r>
        <w:rPr>
          <w:rFonts w:ascii="Times New Roman" w:eastAsia="Times New Roman" w:hAnsi="Times New Roman" w:cs="Times New Roman"/>
          <w:color w:val="222222"/>
        </w:rPr>
        <w:t>Irulas</w:t>
      </w:r>
      <w:proofErr w:type="spellEnd"/>
      <w:r>
        <w:rPr>
          <w:rFonts w:ascii="Times New Roman" w:eastAsia="Times New Roman" w:hAnsi="Times New Roman" w:cs="Times New Roman"/>
          <w:color w:val="222222"/>
        </w:rPr>
        <w:t xml:space="preserve"> as legitimate tribal members while treating those in plains as fraudulent claimants to tribal status. This bureaucratic rigidity ignores the historical reality of forced displacement and voluntary migration that has characterized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history.</w:t>
      </w:r>
    </w:p>
    <w:p w14:paraId="6D70441F" w14:textId="77777777" w:rsidR="003934E1" w:rsidRDefault="00000000">
      <w:pPr>
        <w:shd w:val="clear" w:color="auto" w:fill="FFFFFF"/>
        <w:spacing w:before="280" w:after="28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Tamil literature and historical records traditionally recognize only hill-folk as tribals, creating additional barriers for </w:t>
      </w:r>
      <w:proofErr w:type="spellStart"/>
      <w:r>
        <w:rPr>
          <w:rFonts w:ascii="Times New Roman" w:eastAsia="Times New Roman" w:hAnsi="Times New Roman" w:cs="Times New Roman"/>
          <w:color w:val="222222"/>
        </w:rPr>
        <w:t>Irulas</w:t>
      </w:r>
      <w:proofErr w:type="spellEnd"/>
      <w:r>
        <w:rPr>
          <w:rFonts w:ascii="Times New Roman" w:eastAsia="Times New Roman" w:hAnsi="Times New Roman" w:cs="Times New Roman"/>
          <w:color w:val="222222"/>
        </w:rPr>
        <w:t xml:space="preserve"> who have moved to or been pushed into plain areas. This administrative challenge affects access to educational reservations, government schemes, and other benefits intended for scheduled tribes. The National Adivasi Solidarity movement of the early 1990s highlighted these issues, involving hundreds of people in advocacy for proper recognition and rights.</w:t>
      </w:r>
    </w:p>
    <w:p w14:paraId="06F23A26" w14:textId="77777777" w:rsidR="003934E1" w:rsidRDefault="00000000">
      <w:pPr>
        <w:shd w:val="clear" w:color="auto" w:fill="FFFFFF"/>
        <w:spacing w:before="280" w:after="28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The work of cultural ambassadors like </w:t>
      </w:r>
      <w:proofErr w:type="spellStart"/>
      <w:r>
        <w:rPr>
          <w:rFonts w:ascii="Times New Roman" w:eastAsia="Times New Roman" w:hAnsi="Times New Roman" w:cs="Times New Roman"/>
          <w:color w:val="222222"/>
        </w:rPr>
        <w:t>Nanjiyamma</w:t>
      </w:r>
      <w:proofErr w:type="spellEnd"/>
      <w:r>
        <w:rPr>
          <w:rFonts w:ascii="Times New Roman" w:eastAsia="Times New Roman" w:hAnsi="Times New Roman" w:cs="Times New Roman"/>
          <w:color w:val="222222"/>
        </w:rPr>
        <w:t xml:space="preserve"> represents a crucial development in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cultural preservation and promotion. Her success in mainstream media has opened new pathways for other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artists and has demonstrated the commercial and artistic viability of indigenous cultural expressions. The popularity of "</w:t>
      </w:r>
      <w:proofErr w:type="spellStart"/>
      <w:r>
        <w:rPr>
          <w:rFonts w:ascii="Times New Roman" w:eastAsia="Times New Roman" w:hAnsi="Times New Roman" w:cs="Times New Roman"/>
          <w:color w:val="222222"/>
        </w:rPr>
        <w:t>Kalakkatha</w:t>
      </w:r>
      <w:proofErr w:type="spellEnd"/>
      <w:r>
        <w:rPr>
          <w:rFonts w:ascii="Times New Roman" w:eastAsia="Times New Roman" w:hAnsi="Times New Roman" w:cs="Times New Roman"/>
          <w:color w:val="222222"/>
        </w:rPr>
        <w:t>" has inspired other tribal artists to explore similar opportunities while maintaining their cultural authenticity.</w:t>
      </w:r>
    </w:p>
    <w:p w14:paraId="15AD720A" w14:textId="77777777" w:rsidR="003934E1" w:rsidRDefault="00000000">
      <w:pPr>
        <w:shd w:val="clear" w:color="auto" w:fill="FFFFFF"/>
        <w:spacing w:before="280" w:after="28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The documentation and study of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dialects remain critical for preserving linguistic diversity and cultural knowledge. Academic institutions and cultural organizations must collaborate with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communities to ensure that dialectal variations are properly recorded, </w:t>
      </w:r>
      <w:proofErr w:type="spellStart"/>
      <w:r>
        <w:rPr>
          <w:rFonts w:ascii="Times New Roman" w:eastAsia="Times New Roman" w:hAnsi="Times New Roman" w:cs="Times New Roman"/>
          <w:color w:val="222222"/>
        </w:rPr>
        <w:t>analyzed</w:t>
      </w:r>
      <w:proofErr w:type="spellEnd"/>
      <w:r>
        <w:rPr>
          <w:rFonts w:ascii="Times New Roman" w:eastAsia="Times New Roman" w:hAnsi="Times New Roman" w:cs="Times New Roman"/>
          <w:color w:val="222222"/>
        </w:rPr>
        <w:t xml:space="preserve">, and preserved for future generations. This work should involve native speakers as primary </w:t>
      </w:r>
      <w:r>
        <w:rPr>
          <w:rFonts w:ascii="Times New Roman" w:eastAsia="Times New Roman" w:hAnsi="Times New Roman" w:cs="Times New Roman"/>
          <w:color w:val="222222"/>
        </w:rPr>
        <w:lastRenderedPageBreak/>
        <w:t>researchers and knowledge holders, ensuring that the documentation process empowers rather than exploits the community.</w:t>
      </w:r>
    </w:p>
    <w:p w14:paraId="39FC9FE2" w14:textId="77777777" w:rsidR="003934E1" w:rsidRDefault="00000000">
      <w:pPr>
        <w:shd w:val="clear" w:color="auto" w:fill="FFFFFF"/>
        <w:spacing w:before="280" w:after="280" w:line="360" w:lineRule="auto"/>
        <w:jc w:val="both"/>
        <w:rPr>
          <w:rFonts w:ascii="Times New Roman" w:eastAsia="Times New Roman" w:hAnsi="Times New Roman" w:cs="Times New Roman"/>
          <w:color w:val="222222"/>
        </w:rPr>
      </w:pPr>
      <w:r>
        <w:rPr>
          <w:rFonts w:ascii="Times New Roman" w:eastAsia="Times New Roman" w:hAnsi="Times New Roman" w:cs="Times New Roman"/>
          <w:color w:val="222222"/>
        </w:rPr>
        <w:t xml:space="preserve">The traditional ecological knowledge of the </w:t>
      </w:r>
      <w:proofErr w:type="spellStart"/>
      <w:r>
        <w:rPr>
          <w:rFonts w:ascii="Times New Roman" w:eastAsia="Times New Roman" w:hAnsi="Times New Roman" w:cs="Times New Roman"/>
          <w:color w:val="222222"/>
        </w:rPr>
        <w:t>Irula</w:t>
      </w:r>
      <w:proofErr w:type="spellEnd"/>
      <w:r>
        <w:rPr>
          <w:rFonts w:ascii="Times New Roman" w:eastAsia="Times New Roman" w:hAnsi="Times New Roman" w:cs="Times New Roman"/>
          <w:color w:val="222222"/>
        </w:rPr>
        <w:t xml:space="preserve"> people, demonstrated through their expertise in snake and rat catching, represents valuable intellectual property that should be respected and compensated appropriately. The Florida python project exemplifies how traditional knowledge can be applied to contemporary environmental challenges, suggesting potential for similar collaborations worldwide.</w:t>
      </w:r>
    </w:p>
    <w:p w14:paraId="2B8E680F" w14:textId="77777777" w:rsidR="003934E1" w:rsidRDefault="00000000">
      <w:pPr>
        <w:pStyle w:val="Heading4"/>
        <w:keepLines w:val="0"/>
        <w:spacing w:before="0" w:after="160" w:line="360" w:lineRule="auto"/>
        <w:jc w:val="both"/>
        <w:rPr>
          <w:rFonts w:ascii="Calibri" w:eastAsia="Calibri" w:hAnsi="Calibri" w:cs="Calibri"/>
          <w:b/>
          <w:i w:val="0"/>
          <w:color w:val="000000"/>
          <w:sz w:val="28"/>
          <w:szCs w:val="28"/>
        </w:rPr>
      </w:pPr>
      <w:bookmarkStart w:id="14" w:name="_heading=h.77jdclmupizm" w:colFirst="0" w:colLast="0"/>
      <w:bookmarkEnd w:id="14"/>
      <w:proofErr w:type="spellStart"/>
      <w:r>
        <w:rPr>
          <w:rFonts w:ascii="Calibri" w:eastAsia="Calibri" w:hAnsi="Calibri" w:cs="Calibri"/>
          <w:b/>
          <w:i w:val="0"/>
          <w:color w:val="000000"/>
          <w:sz w:val="28"/>
          <w:szCs w:val="28"/>
        </w:rPr>
        <w:t>Kalakatha</w:t>
      </w:r>
      <w:proofErr w:type="spellEnd"/>
      <w:r>
        <w:rPr>
          <w:rFonts w:ascii="Calibri" w:eastAsia="Calibri" w:hAnsi="Calibri" w:cs="Calibri"/>
          <w:b/>
          <w:i w:val="0"/>
          <w:color w:val="000000"/>
          <w:sz w:val="28"/>
          <w:szCs w:val="28"/>
        </w:rPr>
        <w:t xml:space="preserve"> Lyrics with English Translation</w:t>
      </w:r>
    </w:p>
    <w:p w14:paraId="113AE1D1" w14:textId="77777777" w:rsidR="003934E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rPr>
          <w:rFonts w:ascii="Times New Roman" w:eastAsia="Times New Roman" w:hAnsi="Times New Roman" w:cs="Times New Roman"/>
          <w:color w:val="383A42"/>
        </w:rPr>
      </w:pPr>
      <w:proofErr w:type="spellStart"/>
      <w:r>
        <w:rPr>
          <w:rFonts w:ascii="Times New Roman" w:eastAsia="Times New Roman" w:hAnsi="Times New Roman" w:cs="Times New Roman"/>
          <w:color w:val="383A42"/>
        </w:rPr>
        <w:t>Kalakatha</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Sandhanameram</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Veguvoka</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Poothirikkum</w:t>
      </w:r>
      <w:proofErr w:type="spellEnd"/>
      <w:r>
        <w:rPr>
          <w:rFonts w:ascii="Times New Roman" w:eastAsia="Times New Roman" w:hAnsi="Times New Roman" w:cs="Times New Roman"/>
          <w:color w:val="383A42"/>
        </w:rPr>
        <w:t>,</w:t>
      </w:r>
    </w:p>
    <w:p w14:paraId="1AF5C4A7" w14:textId="77777777" w:rsidR="003934E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Times New Roman" w:eastAsia="Times New Roman" w:hAnsi="Times New Roman" w:cs="Times New Roman"/>
          <w:color w:val="383A42"/>
        </w:rPr>
      </w:pPr>
      <w:r>
        <w:rPr>
          <w:rFonts w:ascii="Times New Roman" w:eastAsia="Times New Roman" w:hAnsi="Times New Roman" w:cs="Times New Roman"/>
          <w:color w:val="383A42"/>
        </w:rPr>
        <w:t xml:space="preserve">Poo Parikka </w:t>
      </w:r>
      <w:proofErr w:type="spellStart"/>
      <w:r>
        <w:rPr>
          <w:rFonts w:ascii="Times New Roman" w:eastAsia="Times New Roman" w:hAnsi="Times New Roman" w:cs="Times New Roman"/>
          <w:color w:val="383A42"/>
        </w:rPr>
        <w:t>Pokilamo</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Vimenathe</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Pakkilamo</w:t>
      </w:r>
      <w:proofErr w:type="spellEnd"/>
      <w:r>
        <w:rPr>
          <w:rFonts w:ascii="Times New Roman" w:eastAsia="Times New Roman" w:hAnsi="Times New Roman" w:cs="Times New Roman"/>
          <w:color w:val="383A42"/>
        </w:rPr>
        <w:t>,</w:t>
      </w:r>
    </w:p>
    <w:p w14:paraId="6185F735" w14:textId="77777777" w:rsidR="003934E1" w:rsidRDefault="00000000">
      <w:pPr>
        <w:spacing w:before="280" w:after="280"/>
        <w:rPr>
          <w:rFonts w:ascii="Times New Roman" w:eastAsia="Times New Roman" w:hAnsi="Times New Roman" w:cs="Times New Roman"/>
          <w:color w:val="222222"/>
        </w:rPr>
      </w:pPr>
      <w:r>
        <w:rPr>
          <w:rFonts w:ascii="Times New Roman" w:eastAsia="Times New Roman" w:hAnsi="Times New Roman" w:cs="Times New Roman"/>
          <w:i/>
          <w:color w:val="222222"/>
        </w:rPr>
        <w:t>The sandalwood tree in the east has blossomed,</w:t>
      </w:r>
      <w:r>
        <w:rPr>
          <w:rFonts w:ascii="Times New Roman" w:eastAsia="Times New Roman" w:hAnsi="Times New Roman" w:cs="Times New Roman"/>
          <w:color w:val="222222"/>
        </w:rPr>
        <w:t> </w:t>
      </w:r>
      <w:r>
        <w:rPr>
          <w:rFonts w:ascii="Times New Roman" w:eastAsia="Times New Roman" w:hAnsi="Times New Roman" w:cs="Times New Roman"/>
          <w:i/>
          <w:color w:val="222222"/>
        </w:rPr>
        <w:t>Shall we go pluck the flowers and then watch the aeroplane</w:t>
      </w:r>
    </w:p>
    <w:p w14:paraId="6B69A376" w14:textId="77777777" w:rsidR="003934E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Times New Roman" w:eastAsia="Times New Roman" w:hAnsi="Times New Roman" w:cs="Times New Roman"/>
          <w:color w:val="383A42"/>
        </w:rPr>
      </w:pPr>
      <w:r>
        <w:rPr>
          <w:rFonts w:ascii="Times New Roman" w:eastAsia="Times New Roman" w:hAnsi="Times New Roman" w:cs="Times New Roman"/>
          <w:color w:val="383A42"/>
        </w:rPr>
        <w:t xml:space="preserve">La Laale </w:t>
      </w:r>
      <w:proofErr w:type="spellStart"/>
      <w:r>
        <w:rPr>
          <w:rFonts w:ascii="Times New Roman" w:eastAsia="Times New Roman" w:hAnsi="Times New Roman" w:cs="Times New Roman"/>
          <w:color w:val="383A42"/>
        </w:rPr>
        <w:t>Laale</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Laale</w:t>
      </w:r>
      <w:proofErr w:type="spellEnd"/>
      <w:r>
        <w:rPr>
          <w:rFonts w:ascii="Times New Roman" w:eastAsia="Times New Roman" w:hAnsi="Times New Roman" w:cs="Times New Roman"/>
          <w:color w:val="383A42"/>
        </w:rPr>
        <w:t xml:space="preserve">, Laale </w:t>
      </w:r>
      <w:proofErr w:type="spellStart"/>
      <w:r>
        <w:rPr>
          <w:rFonts w:ascii="Times New Roman" w:eastAsia="Times New Roman" w:hAnsi="Times New Roman" w:cs="Times New Roman"/>
          <w:color w:val="383A42"/>
        </w:rPr>
        <w:t>Laale</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Laala</w:t>
      </w:r>
      <w:proofErr w:type="spellEnd"/>
      <w:r>
        <w:rPr>
          <w:rFonts w:ascii="Times New Roman" w:eastAsia="Times New Roman" w:hAnsi="Times New Roman" w:cs="Times New Roman"/>
          <w:color w:val="383A42"/>
        </w:rPr>
        <w:t xml:space="preserve"> Le (x2)</w:t>
      </w:r>
    </w:p>
    <w:p w14:paraId="4EB0E5B2" w14:textId="77777777" w:rsidR="003934E1" w:rsidRDefault="00000000">
      <w:pPr>
        <w:spacing w:before="280" w:after="280"/>
        <w:rPr>
          <w:rFonts w:ascii="Times New Roman" w:eastAsia="Times New Roman" w:hAnsi="Times New Roman" w:cs="Times New Roman"/>
          <w:color w:val="222222"/>
        </w:rPr>
      </w:pPr>
      <w:r>
        <w:rPr>
          <w:rFonts w:ascii="Times New Roman" w:eastAsia="Times New Roman" w:hAnsi="Times New Roman" w:cs="Times New Roman"/>
          <w:i/>
          <w:color w:val="222222"/>
        </w:rPr>
        <w:t xml:space="preserve">La Laale </w:t>
      </w:r>
      <w:proofErr w:type="spellStart"/>
      <w:r>
        <w:rPr>
          <w:rFonts w:ascii="Times New Roman" w:eastAsia="Times New Roman" w:hAnsi="Times New Roman" w:cs="Times New Roman"/>
          <w:i/>
          <w:color w:val="222222"/>
        </w:rPr>
        <w:t>Laale</w:t>
      </w:r>
      <w:proofErr w:type="spellEnd"/>
      <w:r>
        <w:rPr>
          <w:rFonts w:ascii="Times New Roman" w:eastAsia="Times New Roman" w:hAnsi="Times New Roman" w:cs="Times New Roman"/>
          <w:i/>
          <w:color w:val="222222"/>
        </w:rPr>
        <w:t xml:space="preserve"> </w:t>
      </w:r>
      <w:proofErr w:type="spellStart"/>
      <w:r>
        <w:rPr>
          <w:rFonts w:ascii="Times New Roman" w:eastAsia="Times New Roman" w:hAnsi="Times New Roman" w:cs="Times New Roman"/>
          <w:i/>
          <w:color w:val="222222"/>
        </w:rPr>
        <w:t>Laale</w:t>
      </w:r>
      <w:proofErr w:type="spellEnd"/>
      <w:r>
        <w:rPr>
          <w:rFonts w:ascii="Times New Roman" w:eastAsia="Times New Roman" w:hAnsi="Times New Roman" w:cs="Times New Roman"/>
          <w:i/>
          <w:color w:val="222222"/>
        </w:rPr>
        <w:t xml:space="preserve">, Laale </w:t>
      </w:r>
      <w:proofErr w:type="spellStart"/>
      <w:r>
        <w:rPr>
          <w:rFonts w:ascii="Times New Roman" w:eastAsia="Times New Roman" w:hAnsi="Times New Roman" w:cs="Times New Roman"/>
          <w:i/>
          <w:color w:val="222222"/>
        </w:rPr>
        <w:t>Laale</w:t>
      </w:r>
      <w:proofErr w:type="spellEnd"/>
      <w:r>
        <w:rPr>
          <w:rFonts w:ascii="Times New Roman" w:eastAsia="Times New Roman" w:hAnsi="Times New Roman" w:cs="Times New Roman"/>
          <w:i/>
          <w:color w:val="222222"/>
        </w:rPr>
        <w:t xml:space="preserve">, </w:t>
      </w:r>
      <w:proofErr w:type="spellStart"/>
      <w:r>
        <w:rPr>
          <w:rFonts w:ascii="Times New Roman" w:eastAsia="Times New Roman" w:hAnsi="Times New Roman" w:cs="Times New Roman"/>
          <w:i/>
          <w:color w:val="222222"/>
        </w:rPr>
        <w:t>Laala</w:t>
      </w:r>
      <w:proofErr w:type="spellEnd"/>
      <w:r>
        <w:rPr>
          <w:rFonts w:ascii="Times New Roman" w:eastAsia="Times New Roman" w:hAnsi="Times New Roman" w:cs="Times New Roman"/>
          <w:i/>
          <w:color w:val="222222"/>
        </w:rPr>
        <w:t xml:space="preserve"> Le (x2)</w:t>
      </w:r>
    </w:p>
    <w:p w14:paraId="7368B2DB" w14:textId="77777777" w:rsidR="003934E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Times New Roman" w:eastAsia="Times New Roman" w:hAnsi="Times New Roman" w:cs="Times New Roman"/>
          <w:color w:val="383A42"/>
        </w:rPr>
      </w:pPr>
      <w:proofErr w:type="spellStart"/>
      <w:r>
        <w:rPr>
          <w:rFonts w:ascii="Times New Roman" w:eastAsia="Times New Roman" w:hAnsi="Times New Roman" w:cs="Times New Roman"/>
          <w:color w:val="383A42"/>
        </w:rPr>
        <w:t>Thekkatha</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Sandhanameram</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Veguvoka</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Poothirikkum</w:t>
      </w:r>
      <w:proofErr w:type="spellEnd"/>
      <w:r>
        <w:rPr>
          <w:rFonts w:ascii="Times New Roman" w:eastAsia="Times New Roman" w:hAnsi="Times New Roman" w:cs="Times New Roman"/>
          <w:color w:val="383A42"/>
        </w:rPr>
        <w:t>,</w:t>
      </w:r>
    </w:p>
    <w:p w14:paraId="12A2698E" w14:textId="77777777" w:rsidR="003934E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Times New Roman" w:eastAsia="Times New Roman" w:hAnsi="Times New Roman" w:cs="Times New Roman"/>
          <w:color w:val="383A42"/>
        </w:rPr>
      </w:pPr>
      <w:proofErr w:type="spellStart"/>
      <w:r>
        <w:rPr>
          <w:rFonts w:ascii="Times New Roman" w:eastAsia="Times New Roman" w:hAnsi="Times New Roman" w:cs="Times New Roman"/>
          <w:color w:val="383A42"/>
        </w:rPr>
        <w:t>Pooparikka</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Pokilamo</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Vimenathe</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Pakkilamo</w:t>
      </w:r>
      <w:proofErr w:type="spellEnd"/>
      <w:r>
        <w:rPr>
          <w:rFonts w:ascii="Times New Roman" w:eastAsia="Times New Roman" w:hAnsi="Times New Roman" w:cs="Times New Roman"/>
          <w:color w:val="383A42"/>
        </w:rPr>
        <w:t>,</w:t>
      </w:r>
    </w:p>
    <w:p w14:paraId="7BB838EF" w14:textId="77777777" w:rsidR="003934E1" w:rsidRDefault="00000000">
      <w:pPr>
        <w:spacing w:before="280" w:after="280"/>
        <w:rPr>
          <w:rFonts w:ascii="Times New Roman" w:eastAsia="Times New Roman" w:hAnsi="Times New Roman" w:cs="Times New Roman"/>
          <w:color w:val="222222"/>
        </w:rPr>
      </w:pPr>
      <w:r>
        <w:rPr>
          <w:rFonts w:ascii="Times New Roman" w:eastAsia="Times New Roman" w:hAnsi="Times New Roman" w:cs="Times New Roman"/>
          <w:i/>
          <w:color w:val="222222"/>
        </w:rPr>
        <w:t>The sandalwood tree in the south has blossomed,</w:t>
      </w:r>
      <w:r>
        <w:rPr>
          <w:rFonts w:ascii="Times New Roman" w:eastAsia="Times New Roman" w:hAnsi="Times New Roman" w:cs="Times New Roman"/>
          <w:color w:val="222222"/>
        </w:rPr>
        <w:t> </w:t>
      </w:r>
      <w:r>
        <w:rPr>
          <w:rFonts w:ascii="Times New Roman" w:eastAsia="Times New Roman" w:hAnsi="Times New Roman" w:cs="Times New Roman"/>
          <w:i/>
          <w:color w:val="222222"/>
        </w:rPr>
        <w:t>Shall we go pluck the flowers and then watch the aeroplane?</w:t>
      </w:r>
    </w:p>
    <w:p w14:paraId="656D2C8C" w14:textId="77777777" w:rsidR="003934E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Times New Roman" w:eastAsia="Times New Roman" w:hAnsi="Times New Roman" w:cs="Times New Roman"/>
          <w:color w:val="383A42"/>
        </w:rPr>
      </w:pPr>
      <w:r>
        <w:rPr>
          <w:rFonts w:ascii="Times New Roman" w:eastAsia="Times New Roman" w:hAnsi="Times New Roman" w:cs="Times New Roman"/>
          <w:color w:val="383A42"/>
        </w:rPr>
        <w:t xml:space="preserve">Thille Le </w:t>
      </w:r>
      <w:proofErr w:type="spellStart"/>
      <w:r>
        <w:rPr>
          <w:rFonts w:ascii="Times New Roman" w:eastAsia="Times New Roman" w:hAnsi="Times New Roman" w:cs="Times New Roman"/>
          <w:color w:val="383A42"/>
        </w:rPr>
        <w:t>Le</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Le</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Le</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Le</w:t>
      </w:r>
      <w:proofErr w:type="spellEnd"/>
      <w:r>
        <w:rPr>
          <w:rFonts w:ascii="Times New Roman" w:eastAsia="Times New Roman" w:hAnsi="Times New Roman" w:cs="Times New Roman"/>
          <w:color w:val="383A42"/>
        </w:rPr>
        <w:t xml:space="preserve">, Le </w:t>
      </w:r>
      <w:proofErr w:type="spellStart"/>
      <w:r>
        <w:rPr>
          <w:rFonts w:ascii="Times New Roman" w:eastAsia="Times New Roman" w:hAnsi="Times New Roman" w:cs="Times New Roman"/>
          <w:color w:val="383A42"/>
        </w:rPr>
        <w:t>Le</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Le</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Le</w:t>
      </w:r>
      <w:proofErr w:type="spellEnd"/>
      <w:r>
        <w:rPr>
          <w:rFonts w:ascii="Times New Roman" w:eastAsia="Times New Roman" w:hAnsi="Times New Roman" w:cs="Times New Roman"/>
          <w:color w:val="383A42"/>
        </w:rPr>
        <w:t xml:space="preserve"> Lo,</w:t>
      </w:r>
    </w:p>
    <w:p w14:paraId="2852DD23" w14:textId="77777777" w:rsidR="003934E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Times New Roman" w:eastAsia="Times New Roman" w:hAnsi="Times New Roman" w:cs="Times New Roman"/>
          <w:color w:val="383A42"/>
        </w:rPr>
      </w:pPr>
      <w:r>
        <w:rPr>
          <w:rFonts w:ascii="Times New Roman" w:eastAsia="Times New Roman" w:hAnsi="Times New Roman" w:cs="Times New Roman"/>
          <w:color w:val="383A42"/>
        </w:rPr>
        <w:t xml:space="preserve">Thille Le </w:t>
      </w:r>
      <w:proofErr w:type="spellStart"/>
      <w:r>
        <w:rPr>
          <w:rFonts w:ascii="Times New Roman" w:eastAsia="Times New Roman" w:hAnsi="Times New Roman" w:cs="Times New Roman"/>
          <w:color w:val="383A42"/>
        </w:rPr>
        <w:t>Le</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Le</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Le</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Le</w:t>
      </w:r>
      <w:proofErr w:type="spellEnd"/>
      <w:r>
        <w:rPr>
          <w:rFonts w:ascii="Times New Roman" w:eastAsia="Times New Roman" w:hAnsi="Times New Roman" w:cs="Times New Roman"/>
          <w:color w:val="383A42"/>
        </w:rPr>
        <w:t xml:space="preserve">, Le </w:t>
      </w:r>
      <w:proofErr w:type="spellStart"/>
      <w:r>
        <w:rPr>
          <w:rFonts w:ascii="Times New Roman" w:eastAsia="Times New Roman" w:hAnsi="Times New Roman" w:cs="Times New Roman"/>
          <w:color w:val="383A42"/>
        </w:rPr>
        <w:t>Le</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Le</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Le</w:t>
      </w:r>
      <w:proofErr w:type="spellEnd"/>
      <w:r>
        <w:rPr>
          <w:rFonts w:ascii="Times New Roman" w:eastAsia="Times New Roman" w:hAnsi="Times New Roman" w:cs="Times New Roman"/>
          <w:color w:val="383A42"/>
        </w:rPr>
        <w:t xml:space="preserve"> Lo,</w:t>
      </w:r>
    </w:p>
    <w:p w14:paraId="0DFA5F3C" w14:textId="77777777" w:rsidR="003934E1" w:rsidRDefault="00000000">
      <w:pPr>
        <w:spacing w:before="280" w:after="280"/>
        <w:rPr>
          <w:rFonts w:ascii="Times New Roman" w:eastAsia="Times New Roman" w:hAnsi="Times New Roman" w:cs="Times New Roman"/>
          <w:color w:val="222222"/>
        </w:rPr>
      </w:pPr>
      <w:r>
        <w:rPr>
          <w:rFonts w:ascii="Times New Roman" w:eastAsia="Times New Roman" w:hAnsi="Times New Roman" w:cs="Times New Roman"/>
          <w:i/>
          <w:color w:val="222222"/>
        </w:rPr>
        <w:t xml:space="preserve">Thille Le </w:t>
      </w:r>
      <w:proofErr w:type="spellStart"/>
      <w:r>
        <w:rPr>
          <w:rFonts w:ascii="Times New Roman" w:eastAsia="Times New Roman" w:hAnsi="Times New Roman" w:cs="Times New Roman"/>
          <w:i/>
          <w:color w:val="222222"/>
        </w:rPr>
        <w:t>Le</w:t>
      </w:r>
      <w:proofErr w:type="spellEnd"/>
      <w:r>
        <w:rPr>
          <w:rFonts w:ascii="Times New Roman" w:eastAsia="Times New Roman" w:hAnsi="Times New Roman" w:cs="Times New Roman"/>
          <w:i/>
          <w:color w:val="222222"/>
        </w:rPr>
        <w:t xml:space="preserve"> </w:t>
      </w:r>
      <w:proofErr w:type="spellStart"/>
      <w:r>
        <w:rPr>
          <w:rFonts w:ascii="Times New Roman" w:eastAsia="Times New Roman" w:hAnsi="Times New Roman" w:cs="Times New Roman"/>
          <w:i/>
          <w:color w:val="222222"/>
        </w:rPr>
        <w:t>Le</w:t>
      </w:r>
      <w:proofErr w:type="spellEnd"/>
      <w:r>
        <w:rPr>
          <w:rFonts w:ascii="Times New Roman" w:eastAsia="Times New Roman" w:hAnsi="Times New Roman" w:cs="Times New Roman"/>
          <w:i/>
          <w:color w:val="222222"/>
        </w:rPr>
        <w:t xml:space="preserve"> </w:t>
      </w:r>
      <w:proofErr w:type="spellStart"/>
      <w:r>
        <w:rPr>
          <w:rFonts w:ascii="Times New Roman" w:eastAsia="Times New Roman" w:hAnsi="Times New Roman" w:cs="Times New Roman"/>
          <w:i/>
          <w:color w:val="222222"/>
        </w:rPr>
        <w:t>Le</w:t>
      </w:r>
      <w:proofErr w:type="spellEnd"/>
      <w:r>
        <w:rPr>
          <w:rFonts w:ascii="Times New Roman" w:eastAsia="Times New Roman" w:hAnsi="Times New Roman" w:cs="Times New Roman"/>
          <w:i/>
          <w:color w:val="222222"/>
        </w:rPr>
        <w:t xml:space="preserve"> </w:t>
      </w:r>
      <w:proofErr w:type="spellStart"/>
      <w:r>
        <w:rPr>
          <w:rFonts w:ascii="Times New Roman" w:eastAsia="Times New Roman" w:hAnsi="Times New Roman" w:cs="Times New Roman"/>
          <w:i/>
          <w:color w:val="222222"/>
        </w:rPr>
        <w:t>Le</w:t>
      </w:r>
      <w:proofErr w:type="spellEnd"/>
      <w:r>
        <w:rPr>
          <w:rFonts w:ascii="Times New Roman" w:eastAsia="Times New Roman" w:hAnsi="Times New Roman" w:cs="Times New Roman"/>
          <w:i/>
          <w:color w:val="222222"/>
        </w:rPr>
        <w:t xml:space="preserve">, Le </w:t>
      </w:r>
      <w:proofErr w:type="spellStart"/>
      <w:r>
        <w:rPr>
          <w:rFonts w:ascii="Times New Roman" w:eastAsia="Times New Roman" w:hAnsi="Times New Roman" w:cs="Times New Roman"/>
          <w:i/>
          <w:color w:val="222222"/>
        </w:rPr>
        <w:t>Le</w:t>
      </w:r>
      <w:proofErr w:type="spellEnd"/>
      <w:r>
        <w:rPr>
          <w:rFonts w:ascii="Times New Roman" w:eastAsia="Times New Roman" w:hAnsi="Times New Roman" w:cs="Times New Roman"/>
          <w:i/>
          <w:color w:val="222222"/>
        </w:rPr>
        <w:t xml:space="preserve"> </w:t>
      </w:r>
      <w:proofErr w:type="spellStart"/>
      <w:r>
        <w:rPr>
          <w:rFonts w:ascii="Times New Roman" w:eastAsia="Times New Roman" w:hAnsi="Times New Roman" w:cs="Times New Roman"/>
          <w:i/>
          <w:color w:val="222222"/>
        </w:rPr>
        <w:t>Le</w:t>
      </w:r>
      <w:proofErr w:type="spellEnd"/>
      <w:r>
        <w:rPr>
          <w:rFonts w:ascii="Times New Roman" w:eastAsia="Times New Roman" w:hAnsi="Times New Roman" w:cs="Times New Roman"/>
          <w:i/>
          <w:color w:val="222222"/>
        </w:rPr>
        <w:t xml:space="preserve"> </w:t>
      </w:r>
      <w:proofErr w:type="spellStart"/>
      <w:r>
        <w:rPr>
          <w:rFonts w:ascii="Times New Roman" w:eastAsia="Times New Roman" w:hAnsi="Times New Roman" w:cs="Times New Roman"/>
          <w:i/>
          <w:color w:val="222222"/>
        </w:rPr>
        <w:t>Le</w:t>
      </w:r>
      <w:proofErr w:type="spellEnd"/>
      <w:r>
        <w:rPr>
          <w:rFonts w:ascii="Times New Roman" w:eastAsia="Times New Roman" w:hAnsi="Times New Roman" w:cs="Times New Roman"/>
          <w:i/>
          <w:color w:val="222222"/>
        </w:rPr>
        <w:t xml:space="preserve"> Lo,</w:t>
      </w:r>
      <w:r>
        <w:rPr>
          <w:rFonts w:ascii="Times New Roman" w:eastAsia="Times New Roman" w:hAnsi="Times New Roman" w:cs="Times New Roman"/>
          <w:color w:val="222222"/>
        </w:rPr>
        <w:t> </w:t>
      </w:r>
      <w:r>
        <w:rPr>
          <w:rFonts w:ascii="Times New Roman" w:eastAsia="Times New Roman" w:hAnsi="Times New Roman" w:cs="Times New Roman"/>
          <w:i/>
          <w:color w:val="222222"/>
        </w:rPr>
        <w:t xml:space="preserve">Thille Le </w:t>
      </w:r>
      <w:proofErr w:type="spellStart"/>
      <w:r>
        <w:rPr>
          <w:rFonts w:ascii="Times New Roman" w:eastAsia="Times New Roman" w:hAnsi="Times New Roman" w:cs="Times New Roman"/>
          <w:i/>
          <w:color w:val="222222"/>
        </w:rPr>
        <w:t>Le</w:t>
      </w:r>
      <w:proofErr w:type="spellEnd"/>
      <w:r>
        <w:rPr>
          <w:rFonts w:ascii="Times New Roman" w:eastAsia="Times New Roman" w:hAnsi="Times New Roman" w:cs="Times New Roman"/>
          <w:i/>
          <w:color w:val="222222"/>
        </w:rPr>
        <w:t xml:space="preserve"> </w:t>
      </w:r>
      <w:proofErr w:type="spellStart"/>
      <w:r>
        <w:rPr>
          <w:rFonts w:ascii="Times New Roman" w:eastAsia="Times New Roman" w:hAnsi="Times New Roman" w:cs="Times New Roman"/>
          <w:i/>
          <w:color w:val="222222"/>
        </w:rPr>
        <w:t>Le</w:t>
      </w:r>
      <w:proofErr w:type="spellEnd"/>
      <w:r>
        <w:rPr>
          <w:rFonts w:ascii="Times New Roman" w:eastAsia="Times New Roman" w:hAnsi="Times New Roman" w:cs="Times New Roman"/>
          <w:i/>
          <w:color w:val="222222"/>
        </w:rPr>
        <w:t xml:space="preserve"> </w:t>
      </w:r>
      <w:proofErr w:type="spellStart"/>
      <w:r>
        <w:rPr>
          <w:rFonts w:ascii="Times New Roman" w:eastAsia="Times New Roman" w:hAnsi="Times New Roman" w:cs="Times New Roman"/>
          <w:i/>
          <w:color w:val="222222"/>
        </w:rPr>
        <w:t>Le</w:t>
      </w:r>
      <w:proofErr w:type="spellEnd"/>
      <w:r>
        <w:rPr>
          <w:rFonts w:ascii="Times New Roman" w:eastAsia="Times New Roman" w:hAnsi="Times New Roman" w:cs="Times New Roman"/>
          <w:i/>
          <w:color w:val="222222"/>
        </w:rPr>
        <w:t xml:space="preserve"> </w:t>
      </w:r>
      <w:proofErr w:type="spellStart"/>
      <w:r>
        <w:rPr>
          <w:rFonts w:ascii="Times New Roman" w:eastAsia="Times New Roman" w:hAnsi="Times New Roman" w:cs="Times New Roman"/>
          <w:i/>
          <w:color w:val="222222"/>
        </w:rPr>
        <w:t>Le</w:t>
      </w:r>
      <w:proofErr w:type="spellEnd"/>
      <w:r>
        <w:rPr>
          <w:rFonts w:ascii="Times New Roman" w:eastAsia="Times New Roman" w:hAnsi="Times New Roman" w:cs="Times New Roman"/>
          <w:i/>
          <w:color w:val="222222"/>
        </w:rPr>
        <w:t xml:space="preserve">, Le </w:t>
      </w:r>
      <w:proofErr w:type="spellStart"/>
      <w:r>
        <w:rPr>
          <w:rFonts w:ascii="Times New Roman" w:eastAsia="Times New Roman" w:hAnsi="Times New Roman" w:cs="Times New Roman"/>
          <w:i/>
          <w:color w:val="222222"/>
        </w:rPr>
        <w:t>Le</w:t>
      </w:r>
      <w:proofErr w:type="spellEnd"/>
      <w:r>
        <w:rPr>
          <w:rFonts w:ascii="Times New Roman" w:eastAsia="Times New Roman" w:hAnsi="Times New Roman" w:cs="Times New Roman"/>
          <w:i/>
          <w:color w:val="222222"/>
        </w:rPr>
        <w:t xml:space="preserve"> </w:t>
      </w:r>
      <w:proofErr w:type="spellStart"/>
      <w:r>
        <w:rPr>
          <w:rFonts w:ascii="Times New Roman" w:eastAsia="Times New Roman" w:hAnsi="Times New Roman" w:cs="Times New Roman"/>
          <w:i/>
          <w:color w:val="222222"/>
        </w:rPr>
        <w:t>Le</w:t>
      </w:r>
      <w:proofErr w:type="spellEnd"/>
      <w:r>
        <w:rPr>
          <w:rFonts w:ascii="Times New Roman" w:eastAsia="Times New Roman" w:hAnsi="Times New Roman" w:cs="Times New Roman"/>
          <w:i/>
          <w:color w:val="222222"/>
        </w:rPr>
        <w:t xml:space="preserve"> </w:t>
      </w:r>
      <w:proofErr w:type="spellStart"/>
      <w:r>
        <w:rPr>
          <w:rFonts w:ascii="Times New Roman" w:eastAsia="Times New Roman" w:hAnsi="Times New Roman" w:cs="Times New Roman"/>
          <w:i/>
          <w:color w:val="222222"/>
        </w:rPr>
        <w:t>Le</w:t>
      </w:r>
      <w:proofErr w:type="spellEnd"/>
      <w:r>
        <w:rPr>
          <w:rFonts w:ascii="Times New Roman" w:eastAsia="Times New Roman" w:hAnsi="Times New Roman" w:cs="Times New Roman"/>
          <w:i/>
          <w:color w:val="222222"/>
        </w:rPr>
        <w:t xml:space="preserve"> Lo,</w:t>
      </w:r>
    </w:p>
    <w:p w14:paraId="59243A44" w14:textId="77777777" w:rsidR="003934E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Times New Roman" w:eastAsia="Times New Roman" w:hAnsi="Times New Roman" w:cs="Times New Roman"/>
          <w:color w:val="383A42"/>
        </w:rPr>
      </w:pPr>
      <w:proofErr w:type="spellStart"/>
      <w:r>
        <w:rPr>
          <w:rFonts w:ascii="Times New Roman" w:eastAsia="Times New Roman" w:hAnsi="Times New Roman" w:cs="Times New Roman"/>
          <w:color w:val="383A42"/>
        </w:rPr>
        <w:t>Vadakkatha</w:t>
      </w:r>
      <w:proofErr w:type="spellEnd"/>
      <w:r>
        <w:rPr>
          <w:rFonts w:ascii="Times New Roman" w:eastAsia="Times New Roman" w:hAnsi="Times New Roman" w:cs="Times New Roman"/>
          <w:color w:val="383A42"/>
        </w:rPr>
        <w:t xml:space="preserve"> Punka Meram, </w:t>
      </w:r>
      <w:proofErr w:type="spellStart"/>
      <w:r>
        <w:rPr>
          <w:rFonts w:ascii="Times New Roman" w:eastAsia="Times New Roman" w:hAnsi="Times New Roman" w:cs="Times New Roman"/>
          <w:color w:val="383A42"/>
        </w:rPr>
        <w:t>Puparikka</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Pokilamo</w:t>
      </w:r>
      <w:proofErr w:type="spellEnd"/>
      <w:r>
        <w:rPr>
          <w:rFonts w:ascii="Times New Roman" w:eastAsia="Times New Roman" w:hAnsi="Times New Roman" w:cs="Times New Roman"/>
          <w:color w:val="383A42"/>
        </w:rPr>
        <w:t>,</w:t>
      </w:r>
    </w:p>
    <w:p w14:paraId="5DDC28C1" w14:textId="77777777" w:rsidR="003934E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Times New Roman" w:eastAsia="Times New Roman" w:hAnsi="Times New Roman" w:cs="Times New Roman"/>
          <w:color w:val="383A42"/>
        </w:rPr>
      </w:pPr>
      <w:proofErr w:type="spellStart"/>
      <w:r>
        <w:rPr>
          <w:rFonts w:ascii="Times New Roman" w:eastAsia="Times New Roman" w:hAnsi="Times New Roman" w:cs="Times New Roman"/>
          <w:color w:val="383A42"/>
        </w:rPr>
        <w:t>Vadakkatha</w:t>
      </w:r>
      <w:proofErr w:type="spellEnd"/>
      <w:r>
        <w:rPr>
          <w:rFonts w:ascii="Times New Roman" w:eastAsia="Times New Roman" w:hAnsi="Times New Roman" w:cs="Times New Roman"/>
          <w:color w:val="383A42"/>
        </w:rPr>
        <w:t xml:space="preserve"> Punka Meram, </w:t>
      </w:r>
      <w:proofErr w:type="spellStart"/>
      <w:r>
        <w:rPr>
          <w:rFonts w:ascii="Times New Roman" w:eastAsia="Times New Roman" w:hAnsi="Times New Roman" w:cs="Times New Roman"/>
          <w:color w:val="383A42"/>
        </w:rPr>
        <w:t>Veguvika</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Poothirikkum</w:t>
      </w:r>
      <w:proofErr w:type="spellEnd"/>
      <w:r>
        <w:rPr>
          <w:rFonts w:ascii="Times New Roman" w:eastAsia="Times New Roman" w:hAnsi="Times New Roman" w:cs="Times New Roman"/>
          <w:color w:val="383A42"/>
        </w:rPr>
        <w:t>,</w:t>
      </w:r>
    </w:p>
    <w:p w14:paraId="62145D16" w14:textId="77777777" w:rsidR="003934E1"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rPr>
          <w:rFonts w:ascii="Times New Roman" w:eastAsia="Times New Roman" w:hAnsi="Times New Roman" w:cs="Times New Roman"/>
          <w:color w:val="383A42"/>
        </w:rPr>
      </w:pPr>
      <w:proofErr w:type="spellStart"/>
      <w:r>
        <w:rPr>
          <w:rFonts w:ascii="Times New Roman" w:eastAsia="Times New Roman" w:hAnsi="Times New Roman" w:cs="Times New Roman"/>
          <w:color w:val="383A42"/>
        </w:rPr>
        <w:t>Puparikka</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Pokilamo</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Vimenathe</w:t>
      </w:r>
      <w:proofErr w:type="spellEnd"/>
      <w:r>
        <w:rPr>
          <w:rFonts w:ascii="Times New Roman" w:eastAsia="Times New Roman" w:hAnsi="Times New Roman" w:cs="Times New Roman"/>
          <w:color w:val="383A42"/>
        </w:rPr>
        <w:t xml:space="preserve">, </w:t>
      </w:r>
      <w:proofErr w:type="spellStart"/>
      <w:r>
        <w:rPr>
          <w:rFonts w:ascii="Times New Roman" w:eastAsia="Times New Roman" w:hAnsi="Times New Roman" w:cs="Times New Roman"/>
          <w:color w:val="383A42"/>
        </w:rPr>
        <w:t>Pakkilamo</w:t>
      </w:r>
      <w:proofErr w:type="spellEnd"/>
      <w:r>
        <w:rPr>
          <w:rFonts w:ascii="Times New Roman" w:eastAsia="Times New Roman" w:hAnsi="Times New Roman" w:cs="Times New Roman"/>
          <w:color w:val="383A42"/>
        </w:rPr>
        <w:t>,</w:t>
      </w:r>
    </w:p>
    <w:p w14:paraId="42440130" w14:textId="77777777" w:rsidR="003934E1" w:rsidRDefault="00000000">
      <w:pPr>
        <w:spacing w:before="280" w:after="280"/>
        <w:rPr>
          <w:rFonts w:ascii="Times New Roman" w:eastAsia="Times New Roman" w:hAnsi="Times New Roman" w:cs="Times New Roman"/>
          <w:color w:val="222222"/>
        </w:rPr>
      </w:pPr>
      <w:r>
        <w:rPr>
          <w:rFonts w:ascii="Times New Roman" w:eastAsia="Times New Roman" w:hAnsi="Times New Roman" w:cs="Times New Roman"/>
          <w:i/>
          <w:color w:val="222222"/>
        </w:rPr>
        <w:t>The flowering tree in the north, shall we go pluck flowers?</w:t>
      </w:r>
      <w:r>
        <w:rPr>
          <w:rFonts w:ascii="Times New Roman" w:eastAsia="Times New Roman" w:hAnsi="Times New Roman" w:cs="Times New Roman"/>
          <w:color w:val="222222"/>
        </w:rPr>
        <w:t> </w:t>
      </w:r>
      <w:r>
        <w:rPr>
          <w:rFonts w:ascii="Times New Roman" w:eastAsia="Times New Roman" w:hAnsi="Times New Roman" w:cs="Times New Roman"/>
          <w:i/>
          <w:color w:val="222222"/>
        </w:rPr>
        <w:t>The flowering tree in the north has blossomed quickly,</w:t>
      </w:r>
      <w:r>
        <w:rPr>
          <w:rFonts w:ascii="Times New Roman" w:eastAsia="Times New Roman" w:hAnsi="Times New Roman" w:cs="Times New Roman"/>
          <w:color w:val="222222"/>
        </w:rPr>
        <w:t> </w:t>
      </w:r>
      <w:r>
        <w:rPr>
          <w:rFonts w:ascii="Times New Roman" w:eastAsia="Times New Roman" w:hAnsi="Times New Roman" w:cs="Times New Roman"/>
          <w:i/>
          <w:color w:val="222222"/>
        </w:rPr>
        <w:t>Shall we go pluck flowers and then watch the aeroplane?</w:t>
      </w:r>
    </w:p>
    <w:sdt>
      <w:sdtPr>
        <w:tag w:val="goog_rdk_0"/>
        <w:id w:val="80458922"/>
        <w:lock w:val="contentLocked"/>
      </w:sdtPr>
      <w:sdtContent>
        <w:tbl>
          <w:tblPr>
            <w:tblStyle w:val="a1"/>
            <w:tblW w:w="9360" w:type="dxa"/>
            <w:tblLayout w:type="fixed"/>
            <w:tblLook w:val="0400" w:firstRow="0" w:lastRow="0" w:firstColumn="0" w:lastColumn="0" w:noHBand="0" w:noVBand="1"/>
          </w:tblPr>
          <w:tblGrid>
            <w:gridCol w:w="960"/>
            <w:gridCol w:w="8400"/>
          </w:tblGrid>
          <w:tr w:rsidR="003934E1" w14:paraId="31AF0F70" w14:textId="77777777">
            <w:tc>
              <w:tcPr>
                <w:tcW w:w="960" w:type="dxa"/>
                <w:tcMar>
                  <w:top w:w="0" w:type="dxa"/>
                  <w:left w:w="240" w:type="dxa"/>
                  <w:bottom w:w="0" w:type="dxa"/>
                  <w:right w:w="240" w:type="dxa"/>
                </w:tcMar>
              </w:tcPr>
              <w:p w14:paraId="45EE735E" w14:textId="77777777" w:rsidR="003934E1" w:rsidRDefault="00000000">
                <w:pPr>
                  <w:rPr>
                    <w:rFonts w:ascii="Times New Roman" w:eastAsia="Times New Roman" w:hAnsi="Times New Roman" w:cs="Times New Roman"/>
                  </w:rPr>
                </w:pPr>
                <w:r>
                  <w:rPr>
                    <w:rFonts w:ascii="Times New Roman" w:eastAsia="Times New Roman" w:hAnsi="Times New Roman" w:cs="Times New Roman"/>
                    <w:noProof/>
                  </w:rPr>
                  <mc:AlternateContent>
                    <mc:Choice Requires="wpg">
                      <w:drawing>
                        <wp:inline distT="0" distB="0" distL="0" distR="0" wp14:anchorId="5CD32450" wp14:editId="2B24F000">
                          <wp:extent cx="314325" cy="314325"/>
                          <wp:effectExtent l="0" t="0" r="0" b="0"/>
                          <wp:docPr id="1811818198" name="image1.png" descr="https://lh3.googleusercontent.com/a/ACg8ocIAxobpw4I8rx1aKVcInwBR0u64iL-16ln-X-ZIZNM8BZYKnA=s40-p-mo"/>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a/ACg8ocIAxobpw4I8rx1aKVcInwBR0u64iL-16ln-X-ZIZNM8BZYKnA=s40-p-mo"/>
                                  <pic:cNvPicPr preferRelativeResize="0"/>
                                </pic:nvPicPr>
                                <pic:blipFill>
                                  <a:blip r:embed="rId47"/>
                                  <a:srcRect/>
                                  <a:stretch>
                                    <a:fillRect/>
                                  </a:stretch>
                                </pic:blipFill>
                                <pic:spPr>
                                  <a:xfrm>
                                    <a:off x="0" y="0"/>
                                    <a:ext cx="314325" cy="314325"/>
                                  </a:xfrm>
                                  <a:prstGeom prst="rect">
                                    <a:avLst/>
                                  </a:prstGeom>
                                  <a:ln/>
                                </pic:spPr>
                              </pic:pic>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14325" cy="314325"/>
                          <wp:effectExtent b="0" l="0" r="0" t="0"/>
                          <wp:docPr descr="https://lh3.googleusercontent.com/a/ACg8ocIAxobpw4I8rx1aKVcInwBR0u64iL-16ln-X-ZIZNM8BZYKnA=s40-p-mo" id="1811818198" name="image2.png"/>
                          <a:graphic>
                            <a:graphicData uri="http://schemas.openxmlformats.org/drawingml/2006/picture">
                              <pic:pic>
                                <pic:nvPicPr>
                                  <pic:cNvPr descr="https://lh3.googleusercontent.com/a/ACg8ocIAxobpw4I8rx1aKVcInwBR0u64iL-16ln-X-ZIZNM8BZYKnA=s40-p-mo" id="0" name="image2.png"/>
                                  <pic:cNvPicPr preferRelativeResize="0"/>
                                </pic:nvPicPr>
                                <pic:blipFill>
                                  <a:blip r:embed="rId48"/>
                                  <a:srcRect/>
                                  <a:stretch>
                                    <a:fillRect/>
                                  </a:stretch>
                                </pic:blipFill>
                                <pic:spPr>
                                  <a:xfrm>
                                    <a:off x="0" y="0"/>
                                    <a:ext cx="314325" cy="314325"/>
                                  </a:xfrm>
                                  <a:prstGeom prst="rect"/>
                                  <a:ln/>
                                </pic:spPr>
                              </pic:pic>
                            </a:graphicData>
                          </a:graphic>
                        </wp:inline>
                      </w:drawing>
                    </mc:Fallback>
                  </mc:AlternateContent>
                </w:r>
              </w:p>
            </w:tc>
            <w:tc>
              <w:tcPr>
                <w:tcW w:w="8400" w:type="dxa"/>
                <w:tcMar>
                  <w:top w:w="0" w:type="dxa"/>
                  <w:left w:w="0" w:type="dxa"/>
                  <w:bottom w:w="0" w:type="dxa"/>
                  <w:right w:w="0" w:type="dxa"/>
                </w:tcMar>
                <w:vAlign w:val="center"/>
              </w:tcPr>
              <w:p w14:paraId="67CCAA53" w14:textId="77777777" w:rsidR="003934E1" w:rsidRDefault="00000000">
                <w:pPr>
                  <w:rPr>
                    <w:rFonts w:ascii="Times New Roman" w:eastAsia="Times New Roman" w:hAnsi="Times New Roman" w:cs="Times New Roman"/>
                  </w:rPr>
                </w:pPr>
              </w:p>
            </w:tc>
          </w:tr>
        </w:tbl>
      </w:sdtContent>
    </w:sdt>
    <w:p w14:paraId="23F01B00" w14:textId="77777777" w:rsidR="003934E1" w:rsidRDefault="00000000">
      <w:pPr>
        <w:spacing w:line="259" w:lineRule="auto"/>
        <w:jc w:val="center"/>
        <w:rPr>
          <w:rFonts w:ascii="Arial" w:eastAsia="Arial" w:hAnsi="Arial" w:cs="Arial"/>
          <w:color w:val="FFFFFF"/>
          <w:sz w:val="21"/>
          <w:szCs w:val="21"/>
        </w:rPr>
      </w:pPr>
      <w:r>
        <w:rPr>
          <w:rFonts w:ascii="Arial" w:eastAsia="Arial" w:hAnsi="Arial" w:cs="Arial"/>
          <w:noProof/>
          <w:color w:val="FFFFFF"/>
          <w:sz w:val="21"/>
          <w:szCs w:val="21"/>
        </w:rPr>
        <w:drawing>
          <wp:inline distT="0" distB="0" distL="114300" distR="114300" wp14:anchorId="4317E8CC" wp14:editId="074AA7D0">
            <wp:extent cx="914400" cy="228600"/>
            <wp:effectExtent l="0" t="0" r="0" b="0"/>
            <wp:docPr id="181181820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9"/>
                    <a:srcRect/>
                    <a:stretch>
                      <a:fillRect/>
                    </a:stretch>
                  </pic:blipFill>
                  <pic:spPr>
                    <a:xfrm>
                      <a:off x="0" y="0"/>
                      <a:ext cx="914400" cy="228600"/>
                    </a:xfrm>
                    <a:prstGeom prst="rect">
                      <a:avLst/>
                    </a:prstGeom>
                    <a:ln/>
                  </pic:spPr>
                </pic:pic>
              </a:graphicData>
            </a:graphic>
          </wp:inline>
        </w:drawing>
      </w:r>
    </w:p>
    <w:p w14:paraId="4D488446" w14:textId="77777777" w:rsidR="003934E1" w:rsidRDefault="00000000">
      <w:pPr>
        <w:spacing w:before="280" w:after="280" w:line="360" w:lineRule="auto"/>
        <w:jc w:val="both"/>
        <w:rPr>
          <w:rFonts w:ascii="Calibri" w:eastAsia="Calibri" w:hAnsi="Calibri" w:cs="Calibri"/>
          <w:b/>
          <w:sz w:val="28"/>
          <w:szCs w:val="28"/>
        </w:rPr>
      </w:pPr>
      <w:proofErr w:type="spellStart"/>
      <w:r>
        <w:rPr>
          <w:rFonts w:ascii="Calibri" w:eastAsia="Calibri" w:hAnsi="Calibri" w:cs="Calibri"/>
          <w:b/>
          <w:sz w:val="28"/>
          <w:szCs w:val="28"/>
        </w:rPr>
        <w:lastRenderedPageBreak/>
        <w:t>Nanjiyamma</w:t>
      </w:r>
      <w:proofErr w:type="spellEnd"/>
      <w:r>
        <w:rPr>
          <w:rFonts w:ascii="Calibri" w:eastAsia="Calibri" w:hAnsi="Calibri" w:cs="Calibri"/>
          <w:b/>
          <w:sz w:val="28"/>
          <w:szCs w:val="28"/>
        </w:rPr>
        <w:t>: From Margins to Mainstream</w:t>
      </w:r>
    </w:p>
    <w:p w14:paraId="720750E3" w14:textId="77777777" w:rsidR="003934E1" w:rsidRDefault="00000000">
      <w:pPr>
        <w:spacing w:before="280" w:after="280" w:line="360" w:lineRule="auto"/>
        <w:jc w:val="both"/>
        <w:rPr>
          <w:rFonts w:ascii="Calibri" w:eastAsia="Calibri" w:hAnsi="Calibri" w:cs="Calibri"/>
        </w:rPr>
      </w:pPr>
      <w:proofErr w:type="spellStart"/>
      <w:r>
        <w:rPr>
          <w:rFonts w:ascii="Calibri" w:eastAsia="Calibri" w:hAnsi="Calibri" w:cs="Calibri"/>
        </w:rPr>
        <w:t>Nanjiyamma's</w:t>
      </w:r>
      <w:proofErr w:type="spellEnd"/>
      <w:r>
        <w:rPr>
          <w:rFonts w:ascii="Calibri" w:eastAsia="Calibri" w:hAnsi="Calibri" w:cs="Calibri"/>
        </w:rPr>
        <w:t xml:space="preserve"> biography embodies the complex negotiations that tribal women must undertake to maintain cultural authenticity while engaging with mainstream society. As a herdswoman from the </w:t>
      </w:r>
      <w:proofErr w:type="spellStart"/>
      <w:r>
        <w:rPr>
          <w:rFonts w:ascii="Calibri" w:eastAsia="Calibri" w:hAnsi="Calibri" w:cs="Calibri"/>
        </w:rPr>
        <w:t>Irula</w:t>
      </w:r>
      <w:proofErr w:type="spellEnd"/>
      <w:r>
        <w:rPr>
          <w:rFonts w:ascii="Calibri" w:eastAsia="Calibri" w:hAnsi="Calibri" w:cs="Calibri"/>
        </w:rPr>
        <w:t xml:space="preserve"> community, her daily life involves tending cattle in the forests of </w:t>
      </w:r>
      <w:proofErr w:type="spellStart"/>
      <w:r>
        <w:rPr>
          <w:rFonts w:ascii="Calibri" w:eastAsia="Calibri" w:hAnsi="Calibri" w:cs="Calibri"/>
        </w:rPr>
        <w:t>Attappadi</w:t>
      </w:r>
      <w:proofErr w:type="spellEnd"/>
      <w:r>
        <w:rPr>
          <w:rFonts w:ascii="Calibri" w:eastAsia="Calibri" w:hAnsi="Calibri" w:cs="Calibri"/>
        </w:rPr>
        <w:t>, where she developed her musical sensibilities by composing songs that reflected her immediate cultural and social environment.</w:t>
      </w:r>
    </w:p>
    <w:p w14:paraId="1DB6FE0B"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Her music emerges organically from her lived experience rather than formal training in classical traditions. This authenticity distinguishes her work from mainstream playback singing, which typically follows established conventions of Carnatic or Hindustani music. </w:t>
      </w:r>
      <w:proofErr w:type="spellStart"/>
      <w:r>
        <w:rPr>
          <w:rFonts w:ascii="Calibri" w:eastAsia="Calibri" w:hAnsi="Calibri" w:cs="Calibri"/>
        </w:rPr>
        <w:t>Nanjiyamma's</w:t>
      </w:r>
      <w:proofErr w:type="spellEnd"/>
      <w:r>
        <w:rPr>
          <w:rFonts w:ascii="Calibri" w:eastAsia="Calibri" w:hAnsi="Calibri" w:cs="Calibri"/>
        </w:rPr>
        <w:t xml:space="preserve"> compositions absorb what one commentator describes as "the beauty and fierceness of the life that she and her community live," making her music a form of cultural documentation and self-expression.</w:t>
      </w:r>
    </w:p>
    <w:p w14:paraId="103C9CED"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Her inclusion in </w:t>
      </w:r>
      <w:proofErr w:type="spellStart"/>
      <w:r>
        <w:rPr>
          <w:rFonts w:ascii="Calibri" w:eastAsia="Calibri" w:hAnsi="Calibri" w:cs="Calibri"/>
          <w:i/>
        </w:rPr>
        <w:t>Ayyappanum</w:t>
      </w:r>
      <w:proofErr w:type="spellEnd"/>
      <w:r>
        <w:rPr>
          <w:rFonts w:ascii="Calibri" w:eastAsia="Calibri" w:hAnsi="Calibri" w:cs="Calibri"/>
          <w:i/>
        </w:rPr>
        <w:t xml:space="preserve"> </w:t>
      </w:r>
      <w:proofErr w:type="spellStart"/>
      <w:r>
        <w:rPr>
          <w:rFonts w:ascii="Calibri" w:eastAsia="Calibri" w:hAnsi="Calibri" w:cs="Calibri"/>
          <w:i/>
        </w:rPr>
        <w:t>Koshiyum</w:t>
      </w:r>
      <w:proofErr w:type="spellEnd"/>
      <w:r>
        <w:rPr>
          <w:rFonts w:ascii="Calibri" w:eastAsia="Calibri" w:hAnsi="Calibri" w:cs="Calibri"/>
        </w:rPr>
        <w:t xml:space="preserve"> represented a significant departure from typical casting practices in Malayalam cinema. Rather than employing trained playback singers to perform "tribal" songs, the filmmakers recognized the importance of authentic representation by featuring </w:t>
      </w:r>
      <w:proofErr w:type="spellStart"/>
      <w:r>
        <w:rPr>
          <w:rFonts w:ascii="Calibri" w:eastAsia="Calibri" w:hAnsi="Calibri" w:cs="Calibri"/>
        </w:rPr>
        <w:t>Nanjiyamma</w:t>
      </w:r>
      <w:proofErr w:type="spellEnd"/>
      <w:r>
        <w:rPr>
          <w:rFonts w:ascii="Calibri" w:eastAsia="Calibri" w:hAnsi="Calibri" w:cs="Calibri"/>
        </w:rPr>
        <w:t xml:space="preserve"> herself. This decision proved culturally and commercially successful, with the song becoming a viral phenomenon that attracted attention to both the film and the </w:t>
      </w:r>
      <w:proofErr w:type="spellStart"/>
      <w:r>
        <w:rPr>
          <w:rFonts w:ascii="Calibri" w:eastAsia="Calibri" w:hAnsi="Calibri" w:cs="Calibri"/>
        </w:rPr>
        <w:t>Irula</w:t>
      </w:r>
      <w:proofErr w:type="spellEnd"/>
      <w:r>
        <w:rPr>
          <w:rFonts w:ascii="Calibri" w:eastAsia="Calibri" w:hAnsi="Calibri" w:cs="Calibri"/>
        </w:rPr>
        <w:t xml:space="preserve"> community.</w:t>
      </w:r>
    </w:p>
    <w:p w14:paraId="005CFB08" w14:textId="77777777" w:rsidR="003934E1" w:rsidRDefault="00000000">
      <w:pPr>
        <w:spacing w:before="280" w:after="280" w:line="360" w:lineRule="auto"/>
        <w:jc w:val="both"/>
        <w:rPr>
          <w:rFonts w:ascii="Calibri" w:eastAsia="Calibri" w:hAnsi="Calibri" w:cs="Calibri"/>
          <w:b/>
          <w:sz w:val="28"/>
          <w:szCs w:val="28"/>
        </w:rPr>
      </w:pPr>
      <w:r>
        <w:rPr>
          <w:rFonts w:ascii="Calibri" w:eastAsia="Calibri" w:hAnsi="Calibri" w:cs="Calibri"/>
          <w:b/>
          <w:sz w:val="28"/>
          <w:szCs w:val="28"/>
        </w:rPr>
        <w:t>What Is the Caste of Music?</w:t>
      </w:r>
    </w:p>
    <w:p w14:paraId="0A170799"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When </w:t>
      </w:r>
      <w:proofErr w:type="spellStart"/>
      <w:r>
        <w:rPr>
          <w:rFonts w:ascii="Calibri" w:eastAsia="Calibri" w:hAnsi="Calibri" w:cs="Calibri"/>
        </w:rPr>
        <w:t>Nanjiyamma</w:t>
      </w:r>
      <w:proofErr w:type="spellEnd"/>
      <w:r>
        <w:rPr>
          <w:rFonts w:ascii="Calibri" w:eastAsia="Calibri" w:hAnsi="Calibri" w:cs="Calibri"/>
        </w:rPr>
        <w:t xml:space="preserve"> was called upon to receive the award for the Best Female Playback Singer at the 68th National Film Awards, she walked over to the stage gracefully amidst huge rounds of applause. A </w:t>
      </w:r>
      <w:proofErr w:type="spellStart"/>
      <w:r>
        <w:rPr>
          <w:rFonts w:ascii="Calibri" w:eastAsia="Calibri" w:hAnsi="Calibri" w:cs="Calibri"/>
        </w:rPr>
        <w:t>smil</w:t>
      </w:r>
      <w:proofErr w:type="spellEnd"/>
      <w:r>
        <w:rPr>
          <w:rFonts w:ascii="Calibri" w:eastAsia="Calibri" w:hAnsi="Calibri" w:cs="Calibri"/>
        </w:rPr>
        <w:t xml:space="preserve">- </w:t>
      </w:r>
      <w:proofErr w:type="spellStart"/>
      <w:r>
        <w:rPr>
          <w:rFonts w:ascii="Calibri" w:eastAsia="Calibri" w:hAnsi="Calibri" w:cs="Calibri"/>
        </w:rPr>
        <w:t>ing</w:t>
      </w:r>
      <w:proofErr w:type="spellEnd"/>
      <w:r>
        <w:rPr>
          <w:rFonts w:ascii="Calibri" w:eastAsia="Calibri" w:hAnsi="Calibri" w:cs="Calibri"/>
        </w:rPr>
        <w:t xml:space="preserve"> </w:t>
      </w:r>
      <w:proofErr w:type="spellStart"/>
      <w:r>
        <w:rPr>
          <w:rFonts w:ascii="Calibri" w:eastAsia="Calibri" w:hAnsi="Calibri" w:cs="Calibri"/>
        </w:rPr>
        <w:t>Nanjiyamma</w:t>
      </w:r>
      <w:proofErr w:type="spellEnd"/>
      <w:r>
        <w:rPr>
          <w:rFonts w:ascii="Calibri" w:eastAsia="Calibri" w:hAnsi="Calibri" w:cs="Calibri"/>
        </w:rPr>
        <w:t xml:space="preserve">, a tribal herdswoman from the </w:t>
      </w:r>
      <w:proofErr w:type="spellStart"/>
      <w:r>
        <w:rPr>
          <w:rFonts w:ascii="Calibri" w:eastAsia="Calibri" w:hAnsi="Calibri" w:cs="Calibri"/>
        </w:rPr>
        <w:t>Irula</w:t>
      </w:r>
      <w:proofErr w:type="spellEnd"/>
      <w:r>
        <w:rPr>
          <w:rFonts w:ascii="Calibri" w:eastAsia="Calibri" w:hAnsi="Calibri" w:cs="Calibri"/>
        </w:rPr>
        <w:t xml:space="preserve"> community in </w:t>
      </w:r>
      <w:proofErr w:type="spellStart"/>
      <w:r>
        <w:rPr>
          <w:rFonts w:ascii="Calibri" w:eastAsia="Calibri" w:hAnsi="Calibri" w:cs="Calibri"/>
        </w:rPr>
        <w:t>Attappady</w:t>
      </w:r>
      <w:proofErr w:type="spellEnd"/>
      <w:r>
        <w:rPr>
          <w:rFonts w:ascii="Calibri" w:eastAsia="Calibri" w:hAnsi="Calibri" w:cs="Calibri"/>
        </w:rPr>
        <w:t xml:space="preserve">, Kerala receiving this prestigious award from Droupadi Murmu, the fi </w:t>
      </w:r>
      <w:proofErr w:type="spellStart"/>
      <w:r>
        <w:rPr>
          <w:rFonts w:ascii="Calibri" w:eastAsia="Calibri" w:hAnsi="Calibri" w:cs="Calibri"/>
        </w:rPr>
        <w:t>rst</w:t>
      </w:r>
      <w:proofErr w:type="spellEnd"/>
      <w:r>
        <w:rPr>
          <w:rFonts w:ascii="Calibri" w:eastAsia="Calibri" w:hAnsi="Calibri" w:cs="Calibri"/>
        </w:rPr>
        <w:t xml:space="preserve"> ever Indian President from a tribal community, indeed was a historical moment. In July 2022 when the award was announced, there were debates about the quality of music that is deemed worthy of this award. A musician from Kerala argued that </w:t>
      </w:r>
      <w:proofErr w:type="spellStart"/>
      <w:r>
        <w:rPr>
          <w:rFonts w:ascii="Calibri" w:eastAsia="Calibri" w:hAnsi="Calibri" w:cs="Calibri"/>
        </w:rPr>
        <w:t>Nanjiyamma</w:t>
      </w:r>
      <w:proofErr w:type="spellEnd"/>
      <w:r>
        <w:rPr>
          <w:rFonts w:ascii="Calibri" w:eastAsia="Calibri" w:hAnsi="Calibri" w:cs="Calibri"/>
        </w:rPr>
        <w:t xml:space="preserve"> be- </w:t>
      </w:r>
      <w:proofErr w:type="spellStart"/>
      <w:r>
        <w:rPr>
          <w:rFonts w:ascii="Calibri" w:eastAsia="Calibri" w:hAnsi="Calibri" w:cs="Calibri"/>
        </w:rPr>
        <w:t>ing</w:t>
      </w:r>
      <w:proofErr w:type="spellEnd"/>
      <w:r>
        <w:rPr>
          <w:rFonts w:ascii="Calibri" w:eastAsia="Calibri" w:hAnsi="Calibri" w:cs="Calibri"/>
        </w:rPr>
        <w:t xml:space="preserve"> conferred with this award would be an insult to those devoted musicians who have been pursuing music “seriously” and spending decades worshipping their art. What was conveniently forgotten by </w:t>
      </w:r>
      <w:r>
        <w:rPr>
          <w:rFonts w:ascii="Calibri" w:eastAsia="Calibri" w:hAnsi="Calibri" w:cs="Calibri"/>
        </w:rPr>
        <w:lastRenderedPageBreak/>
        <w:t xml:space="preserve">many people who buoyed this argument was that this award is for the best playback singer and not for music or for being a vocalist as rightly pointed out by B Diwakar, the veteran cinematographer and academician who served on many juries for the National Film Awards. </w:t>
      </w:r>
      <w:proofErr w:type="spellStart"/>
      <w:r>
        <w:rPr>
          <w:rFonts w:ascii="Calibri" w:eastAsia="Calibri" w:hAnsi="Calibri" w:cs="Calibri"/>
        </w:rPr>
        <w:t>Nanjiyamma’s</w:t>
      </w:r>
      <w:proofErr w:type="spellEnd"/>
      <w:r>
        <w:rPr>
          <w:rFonts w:ascii="Calibri" w:eastAsia="Calibri" w:hAnsi="Calibri" w:cs="Calibri"/>
        </w:rPr>
        <w:t xml:space="preserve"> song </w:t>
      </w:r>
      <w:proofErr w:type="spellStart"/>
      <w:r>
        <w:rPr>
          <w:rFonts w:ascii="Calibri" w:eastAsia="Calibri" w:hAnsi="Calibri" w:cs="Calibri"/>
        </w:rPr>
        <w:t>Kalakkatha</w:t>
      </w:r>
      <w:proofErr w:type="spellEnd"/>
      <w:r>
        <w:rPr>
          <w:rFonts w:ascii="Calibri" w:eastAsia="Calibri" w:hAnsi="Calibri" w:cs="Calibri"/>
        </w:rPr>
        <w:t xml:space="preserve"> </w:t>
      </w:r>
      <w:proofErr w:type="spellStart"/>
      <w:r>
        <w:rPr>
          <w:rFonts w:ascii="Calibri" w:eastAsia="Calibri" w:hAnsi="Calibri" w:cs="Calibri"/>
        </w:rPr>
        <w:t>Sendanameram</w:t>
      </w:r>
      <w:proofErr w:type="spellEnd"/>
      <w:r>
        <w:rPr>
          <w:rFonts w:ascii="Calibri" w:eastAsia="Calibri" w:hAnsi="Calibri" w:cs="Calibri"/>
        </w:rPr>
        <w:t xml:space="preserve"> from the Malayalam movie </w:t>
      </w:r>
      <w:proofErr w:type="spellStart"/>
      <w:r>
        <w:rPr>
          <w:rFonts w:ascii="Calibri" w:eastAsia="Calibri" w:hAnsi="Calibri" w:cs="Calibri"/>
        </w:rPr>
        <w:t>Ayyappanum</w:t>
      </w:r>
      <w:proofErr w:type="spellEnd"/>
      <w:r>
        <w:rPr>
          <w:rFonts w:ascii="Calibri" w:eastAsia="Calibri" w:hAnsi="Calibri" w:cs="Calibri"/>
        </w:rPr>
        <w:t xml:space="preserve"> </w:t>
      </w:r>
      <w:proofErr w:type="spellStart"/>
      <w:r>
        <w:rPr>
          <w:rFonts w:ascii="Calibri" w:eastAsia="Calibri" w:hAnsi="Calibri" w:cs="Calibri"/>
        </w:rPr>
        <w:t>Koshiyum</w:t>
      </w:r>
      <w:proofErr w:type="spellEnd"/>
      <w:r>
        <w:rPr>
          <w:rFonts w:ascii="Calibri" w:eastAsia="Calibri" w:hAnsi="Calibri" w:cs="Calibri"/>
        </w:rPr>
        <w:t xml:space="preserve"> (2020) elevated the film and attracted the attention of the viewers to the screen. Is this not the most important function of the au- </w:t>
      </w:r>
      <w:proofErr w:type="spellStart"/>
      <w:r>
        <w:rPr>
          <w:rFonts w:ascii="Calibri" w:eastAsia="Calibri" w:hAnsi="Calibri" w:cs="Calibri"/>
        </w:rPr>
        <w:t>dio</w:t>
      </w:r>
      <w:proofErr w:type="spellEnd"/>
      <w:r>
        <w:rPr>
          <w:rFonts w:ascii="Calibri" w:eastAsia="Calibri" w:hAnsi="Calibri" w:cs="Calibri"/>
        </w:rPr>
        <w:t xml:space="preserve"> track in a fi </w:t>
      </w:r>
      <w:proofErr w:type="spellStart"/>
      <w:r>
        <w:rPr>
          <w:rFonts w:ascii="Calibri" w:eastAsia="Calibri" w:hAnsi="Calibri" w:cs="Calibri"/>
        </w:rPr>
        <w:t>lm</w:t>
      </w:r>
      <w:proofErr w:type="spellEnd"/>
      <w:r>
        <w:rPr>
          <w:rFonts w:ascii="Calibri" w:eastAsia="Calibri" w:hAnsi="Calibri" w:cs="Calibri"/>
        </w:rPr>
        <w:t>? The song was “trending” on the internet even before the release of the movie and it was used as a promotional tool successfully. Still, why did arguments persist against this historical win?.</w:t>
      </w:r>
    </w:p>
    <w:p w14:paraId="308B3A12"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surprise or rather shock felt by a section of the privileged public in response to this award is a by-product of the social categorisation of music into pure and impure styles/formats. The so-called “pure” music has always been the coveted Hindustani and Carnatic traditions and there have always been certain paraphernalia (the dress code, appearance, places of </w:t>
      </w:r>
      <w:proofErr w:type="spellStart"/>
      <w:r>
        <w:rPr>
          <w:rFonts w:ascii="Calibri" w:eastAsia="Calibri" w:hAnsi="Calibri" w:cs="Calibri"/>
        </w:rPr>
        <w:t>perfor-mance</w:t>
      </w:r>
      <w:proofErr w:type="spellEnd"/>
      <w:r>
        <w:rPr>
          <w:rFonts w:ascii="Calibri" w:eastAsia="Calibri" w:hAnsi="Calibri" w:cs="Calibri"/>
        </w:rPr>
        <w:t xml:space="preserve"> and the like) associated with practitioners of these traditions. Judging art by the artist’s social background is problematic. If we examine the list of playback singers who have won the same award in previous years, there is no doubt that </w:t>
      </w:r>
      <w:proofErr w:type="spellStart"/>
      <w:r>
        <w:rPr>
          <w:rFonts w:ascii="Calibri" w:eastAsia="Calibri" w:hAnsi="Calibri" w:cs="Calibri"/>
        </w:rPr>
        <w:t>Nanjiyamma’s</w:t>
      </w:r>
      <w:proofErr w:type="spellEnd"/>
      <w:r>
        <w:rPr>
          <w:rFonts w:ascii="Calibri" w:eastAsia="Calibri" w:hAnsi="Calibri" w:cs="Calibri"/>
        </w:rPr>
        <w:t xml:space="preserve"> name is an exception. This difference stems from the nature of the song (written by her in her native </w:t>
      </w:r>
      <w:proofErr w:type="spellStart"/>
      <w:r>
        <w:rPr>
          <w:rFonts w:ascii="Calibri" w:eastAsia="Calibri" w:hAnsi="Calibri" w:cs="Calibri"/>
        </w:rPr>
        <w:t>Irula</w:t>
      </w:r>
      <w:proofErr w:type="spellEnd"/>
      <w:r>
        <w:rPr>
          <w:rFonts w:ascii="Calibri" w:eastAsia="Calibri" w:hAnsi="Calibri" w:cs="Calibri"/>
        </w:rPr>
        <w:t xml:space="preserve"> language) and from the marginalised social context from which she created a space for herself in the dominant culture. This itself makes her exceptional. The folk songs that this tribal herds woman sings absorb the beauty and fi </w:t>
      </w:r>
      <w:proofErr w:type="spellStart"/>
      <w:r>
        <w:rPr>
          <w:rFonts w:ascii="Calibri" w:eastAsia="Calibri" w:hAnsi="Calibri" w:cs="Calibri"/>
        </w:rPr>
        <w:t>erceness</w:t>
      </w:r>
      <w:proofErr w:type="spellEnd"/>
      <w:r>
        <w:rPr>
          <w:rFonts w:ascii="Calibri" w:eastAsia="Calibri" w:hAnsi="Calibri" w:cs="Calibri"/>
        </w:rPr>
        <w:t xml:space="preserve"> of the life that she and her community live. This music is her everyday reality and she composes the songs by picking up the intimate elements from her immediate cultural and social environment. She is not trained in Carnatic or Hindustani music and neither does she have a guru who bestowed her with any venerable forms of music. Her music is natural and is far from any </w:t>
      </w:r>
      <w:proofErr w:type="spellStart"/>
      <w:r>
        <w:rPr>
          <w:rFonts w:ascii="Calibri" w:eastAsia="Calibri" w:hAnsi="Calibri" w:cs="Calibri"/>
        </w:rPr>
        <w:t>savarna</w:t>
      </w:r>
      <w:proofErr w:type="spellEnd"/>
      <w:r>
        <w:rPr>
          <w:rFonts w:ascii="Calibri" w:eastAsia="Calibri" w:hAnsi="Calibri" w:cs="Calibri"/>
        </w:rPr>
        <w:t xml:space="preserve"> ideals of music. It is her life, and she composes and sings as a form of self-expression. She does not play any identity politics and does not fashion herself after the </w:t>
      </w:r>
      <w:proofErr w:type="spellStart"/>
      <w:r>
        <w:rPr>
          <w:rFonts w:ascii="Calibri" w:eastAsia="Calibri" w:hAnsi="Calibri" w:cs="Calibri"/>
        </w:rPr>
        <w:t>savarna</w:t>
      </w:r>
      <w:proofErr w:type="spellEnd"/>
      <w:r>
        <w:rPr>
          <w:rFonts w:ascii="Calibri" w:eastAsia="Calibri" w:hAnsi="Calibri" w:cs="Calibri"/>
        </w:rPr>
        <w:t xml:space="preserve"> or dominant culture idols.</w:t>
      </w:r>
    </w:p>
    <w:p w14:paraId="683FA350" w14:textId="77777777" w:rsidR="003934E1" w:rsidRDefault="00000000">
      <w:pPr>
        <w:spacing w:before="280" w:after="280" w:line="360" w:lineRule="auto"/>
        <w:jc w:val="both"/>
        <w:rPr>
          <w:rFonts w:ascii="Calibri" w:eastAsia="Calibri" w:hAnsi="Calibri" w:cs="Calibri"/>
          <w:b/>
          <w:sz w:val="28"/>
          <w:szCs w:val="28"/>
        </w:rPr>
      </w:pPr>
      <w:r>
        <w:rPr>
          <w:rFonts w:ascii="Calibri" w:eastAsia="Calibri" w:hAnsi="Calibri" w:cs="Calibri"/>
          <w:b/>
          <w:sz w:val="28"/>
          <w:szCs w:val="28"/>
        </w:rPr>
        <w:t xml:space="preserve">Analysis of </w:t>
      </w:r>
      <w:proofErr w:type="spellStart"/>
      <w:r>
        <w:rPr>
          <w:rFonts w:ascii="Calibri" w:eastAsia="Calibri" w:hAnsi="Calibri" w:cs="Calibri"/>
          <w:b/>
          <w:i/>
          <w:sz w:val="28"/>
          <w:szCs w:val="28"/>
        </w:rPr>
        <w:t>Kalakkatha</w:t>
      </w:r>
      <w:proofErr w:type="spellEnd"/>
      <w:r>
        <w:rPr>
          <w:rFonts w:ascii="Calibri" w:eastAsia="Calibri" w:hAnsi="Calibri" w:cs="Calibri"/>
          <w:b/>
          <w:i/>
          <w:sz w:val="28"/>
          <w:szCs w:val="28"/>
        </w:rPr>
        <w:t xml:space="preserve"> Sandana Meram</w:t>
      </w:r>
    </w:p>
    <w:p w14:paraId="6C691C66" w14:textId="77777777" w:rsidR="003934E1" w:rsidRDefault="00000000">
      <w:pPr>
        <w:spacing w:before="280" w:after="280" w:line="360" w:lineRule="auto"/>
        <w:jc w:val="both"/>
        <w:rPr>
          <w:rFonts w:ascii="Calibri" w:eastAsia="Calibri" w:hAnsi="Calibri" w:cs="Calibri"/>
          <w:b/>
        </w:rPr>
      </w:pPr>
      <w:r>
        <w:rPr>
          <w:rFonts w:ascii="Calibri" w:eastAsia="Calibri" w:hAnsi="Calibri" w:cs="Calibri"/>
          <w:b/>
        </w:rPr>
        <w:t>Linguistic Significance</w:t>
      </w:r>
    </w:p>
    <w:p w14:paraId="17735F9B" w14:textId="77777777" w:rsidR="003934E1" w:rsidRDefault="00000000">
      <w:pPr>
        <w:spacing w:before="280" w:after="280" w:line="360" w:lineRule="auto"/>
        <w:jc w:val="both"/>
        <w:rPr>
          <w:rFonts w:ascii="Calibri" w:eastAsia="Calibri" w:hAnsi="Calibri" w:cs="Calibri"/>
        </w:rPr>
      </w:pPr>
      <w:proofErr w:type="spellStart"/>
      <w:r>
        <w:rPr>
          <w:rFonts w:ascii="Calibri" w:eastAsia="Calibri" w:hAnsi="Calibri" w:cs="Calibri"/>
          <w:i/>
        </w:rPr>
        <w:t>Kalakkatha</w:t>
      </w:r>
      <w:proofErr w:type="spellEnd"/>
      <w:r>
        <w:rPr>
          <w:rFonts w:ascii="Calibri" w:eastAsia="Calibri" w:hAnsi="Calibri" w:cs="Calibri"/>
          <w:i/>
        </w:rPr>
        <w:t xml:space="preserve"> Sandana Meram</w:t>
      </w:r>
      <w:r>
        <w:rPr>
          <w:rFonts w:ascii="Calibri" w:eastAsia="Calibri" w:hAnsi="Calibri" w:cs="Calibri"/>
        </w:rPr>
        <w:t xml:space="preserve"> stands as a remarkable example of how indigenous languages can find expression within mainstream commercial cinema. The song's lyrics, composed </w:t>
      </w:r>
      <w:r>
        <w:rPr>
          <w:rFonts w:ascii="Calibri" w:eastAsia="Calibri" w:hAnsi="Calibri" w:cs="Calibri"/>
        </w:rPr>
        <w:lastRenderedPageBreak/>
        <w:t xml:space="preserve">entirely in the </w:t>
      </w:r>
      <w:proofErr w:type="spellStart"/>
      <w:r>
        <w:rPr>
          <w:rFonts w:ascii="Calibri" w:eastAsia="Calibri" w:hAnsi="Calibri" w:cs="Calibri"/>
        </w:rPr>
        <w:t>Irula</w:t>
      </w:r>
      <w:proofErr w:type="spellEnd"/>
      <w:r>
        <w:rPr>
          <w:rFonts w:ascii="Calibri" w:eastAsia="Calibri" w:hAnsi="Calibri" w:cs="Calibri"/>
        </w:rPr>
        <w:t xml:space="preserve"> dialect, represent one of the few instances where a tribal language has achieved such widespread visibility in Indian cinema. The title itself, referring to traditional imagery from </w:t>
      </w:r>
      <w:proofErr w:type="spellStart"/>
      <w:r>
        <w:rPr>
          <w:rFonts w:ascii="Calibri" w:eastAsia="Calibri" w:hAnsi="Calibri" w:cs="Calibri"/>
        </w:rPr>
        <w:t>Irula</w:t>
      </w:r>
      <w:proofErr w:type="spellEnd"/>
      <w:r>
        <w:rPr>
          <w:rFonts w:ascii="Calibri" w:eastAsia="Calibri" w:hAnsi="Calibri" w:cs="Calibri"/>
        </w:rPr>
        <w:t xml:space="preserve"> culture, establishes the song's rootedness in specific cultural contexts.</w:t>
      </w:r>
    </w:p>
    <w:p w14:paraId="40277C06"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song's linguistic authenticity challenged conventional approaches to representing tribal culture in cinema. Rather than using standard Malayalam with occasional tribal words for </w:t>
      </w:r>
      <w:proofErr w:type="spellStart"/>
      <w:r>
        <w:rPr>
          <w:rFonts w:ascii="Calibri" w:eastAsia="Calibri" w:hAnsi="Calibri" w:cs="Calibri"/>
        </w:rPr>
        <w:t>flavor</w:t>
      </w:r>
      <w:proofErr w:type="spellEnd"/>
      <w:r>
        <w:rPr>
          <w:rFonts w:ascii="Calibri" w:eastAsia="Calibri" w:hAnsi="Calibri" w:cs="Calibri"/>
        </w:rPr>
        <w:t xml:space="preserve">, the entire composition maintains fidelity to </w:t>
      </w:r>
      <w:proofErr w:type="spellStart"/>
      <w:r>
        <w:rPr>
          <w:rFonts w:ascii="Calibri" w:eastAsia="Calibri" w:hAnsi="Calibri" w:cs="Calibri"/>
        </w:rPr>
        <w:t>Irula</w:t>
      </w:r>
      <w:proofErr w:type="spellEnd"/>
      <w:r>
        <w:rPr>
          <w:rFonts w:ascii="Calibri" w:eastAsia="Calibri" w:hAnsi="Calibri" w:cs="Calibri"/>
        </w:rPr>
        <w:t xml:space="preserve"> linguistic structures and vocabulary. This approach not only preserved the language's integrity but also required audiences to engage with tribal linguistic expression on its own terms.</w:t>
      </w:r>
    </w:p>
    <w:p w14:paraId="45CDCD4B" w14:textId="77777777" w:rsidR="003934E1" w:rsidRDefault="00000000">
      <w:pPr>
        <w:spacing w:before="280" w:after="280" w:line="360" w:lineRule="auto"/>
        <w:jc w:val="both"/>
        <w:rPr>
          <w:rFonts w:ascii="Calibri" w:eastAsia="Calibri" w:hAnsi="Calibri" w:cs="Calibri"/>
          <w:b/>
        </w:rPr>
      </w:pPr>
      <w:r>
        <w:rPr>
          <w:rFonts w:ascii="Calibri" w:eastAsia="Calibri" w:hAnsi="Calibri" w:cs="Calibri"/>
          <w:b/>
        </w:rPr>
        <w:t>Cultural Content and Themes</w:t>
      </w:r>
    </w:p>
    <w:p w14:paraId="03498B4B"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song's content reflects traditional </w:t>
      </w:r>
      <w:proofErr w:type="spellStart"/>
      <w:r>
        <w:rPr>
          <w:rFonts w:ascii="Calibri" w:eastAsia="Calibri" w:hAnsi="Calibri" w:cs="Calibri"/>
        </w:rPr>
        <w:t>Irula</w:t>
      </w:r>
      <w:proofErr w:type="spellEnd"/>
      <w:r>
        <w:rPr>
          <w:rFonts w:ascii="Calibri" w:eastAsia="Calibri" w:hAnsi="Calibri" w:cs="Calibri"/>
        </w:rPr>
        <w:t xml:space="preserve"> themes while addressing contemporary realities. The lyrics incorporate references to pastoral life, forest environments, and community relationships that characterize traditional </w:t>
      </w:r>
      <w:proofErr w:type="spellStart"/>
      <w:r>
        <w:rPr>
          <w:rFonts w:ascii="Calibri" w:eastAsia="Calibri" w:hAnsi="Calibri" w:cs="Calibri"/>
        </w:rPr>
        <w:t>Irula</w:t>
      </w:r>
      <w:proofErr w:type="spellEnd"/>
      <w:r>
        <w:rPr>
          <w:rFonts w:ascii="Calibri" w:eastAsia="Calibri" w:hAnsi="Calibri" w:cs="Calibri"/>
        </w:rPr>
        <w:t xml:space="preserve"> society. Simultaneously, the song's performance within a modern cinematic context demonstrates how traditional cultural forms can adapt to contemporary media while maintaining their essential character.</w:t>
      </w:r>
    </w:p>
    <w:p w14:paraId="377175F1"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visual presentation of the song within the film context also merits analysis. Unlike typical "tribal" song sequences in mainstream cinema that often exoticize or romanticize tribal life, the presentation of </w:t>
      </w:r>
      <w:proofErr w:type="spellStart"/>
      <w:r>
        <w:rPr>
          <w:rFonts w:ascii="Calibri" w:eastAsia="Calibri" w:hAnsi="Calibri" w:cs="Calibri"/>
          <w:i/>
        </w:rPr>
        <w:t>Kalakkatha</w:t>
      </w:r>
      <w:proofErr w:type="spellEnd"/>
      <w:r>
        <w:rPr>
          <w:rFonts w:ascii="Calibri" w:eastAsia="Calibri" w:hAnsi="Calibri" w:cs="Calibri"/>
        </w:rPr>
        <w:t xml:space="preserve"> maintains dignity and authenticity in its portrayal of </w:t>
      </w:r>
      <w:proofErr w:type="spellStart"/>
      <w:r>
        <w:rPr>
          <w:rFonts w:ascii="Calibri" w:eastAsia="Calibri" w:hAnsi="Calibri" w:cs="Calibri"/>
        </w:rPr>
        <w:t>Irula</w:t>
      </w:r>
      <w:proofErr w:type="spellEnd"/>
      <w:r>
        <w:rPr>
          <w:rFonts w:ascii="Calibri" w:eastAsia="Calibri" w:hAnsi="Calibri" w:cs="Calibri"/>
        </w:rPr>
        <w:t xml:space="preserve"> culture. This approach aligns with broader trends in Malayalam parallel cinema toward more respectful representation of Adivasi communities.</w:t>
      </w:r>
    </w:p>
    <w:p w14:paraId="16C67326"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The song's digital success, garnering over one crore views within a month of release, demonstrates the appetite for authentic cultural content among contemporary audiences. This reception challenges assumptions about audience preferences and suggests that authentic cultural expression can achieve commercial success without compromising artistic integrity.</w:t>
      </w:r>
    </w:p>
    <w:p w14:paraId="563C460E"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viral nature of the song's spread across digital platforms facilitated unprecedented visibility for </w:t>
      </w:r>
      <w:proofErr w:type="spellStart"/>
      <w:r>
        <w:rPr>
          <w:rFonts w:ascii="Calibri" w:eastAsia="Calibri" w:hAnsi="Calibri" w:cs="Calibri"/>
        </w:rPr>
        <w:t>Irula</w:t>
      </w:r>
      <w:proofErr w:type="spellEnd"/>
      <w:r>
        <w:rPr>
          <w:rFonts w:ascii="Calibri" w:eastAsia="Calibri" w:hAnsi="Calibri" w:cs="Calibri"/>
        </w:rPr>
        <w:t xml:space="preserve"> culture and language. Social media discussions around the song often focused on its authenticity and </w:t>
      </w:r>
      <w:proofErr w:type="spellStart"/>
      <w:r>
        <w:rPr>
          <w:rFonts w:ascii="Calibri" w:eastAsia="Calibri" w:hAnsi="Calibri" w:cs="Calibri"/>
        </w:rPr>
        <w:t>Nanjiyamma's</w:t>
      </w:r>
      <w:proofErr w:type="spellEnd"/>
      <w:r>
        <w:rPr>
          <w:rFonts w:ascii="Calibri" w:eastAsia="Calibri" w:hAnsi="Calibri" w:cs="Calibri"/>
        </w:rPr>
        <w:t xml:space="preserve"> background, creating educational opportunities </w:t>
      </w:r>
      <w:r>
        <w:rPr>
          <w:rFonts w:ascii="Calibri" w:eastAsia="Calibri" w:hAnsi="Calibri" w:cs="Calibri"/>
        </w:rPr>
        <w:lastRenderedPageBreak/>
        <w:t>about tribal communities for mainstream audiences. This digital engagement represents a form of cultural diplomacy that challenges stereotypical perceptions of tribal communities.</w:t>
      </w:r>
    </w:p>
    <w:p w14:paraId="61586B57" w14:textId="77777777" w:rsidR="003934E1" w:rsidRDefault="00000000">
      <w:pPr>
        <w:spacing w:before="280" w:after="280" w:line="360" w:lineRule="auto"/>
        <w:jc w:val="both"/>
        <w:rPr>
          <w:rFonts w:ascii="Calibri" w:eastAsia="Calibri" w:hAnsi="Calibri" w:cs="Calibri"/>
          <w:b/>
          <w:sz w:val="28"/>
          <w:szCs w:val="28"/>
        </w:rPr>
      </w:pPr>
      <w:r>
        <w:rPr>
          <w:rFonts w:ascii="Calibri" w:eastAsia="Calibri" w:hAnsi="Calibri" w:cs="Calibri"/>
          <w:b/>
          <w:sz w:val="28"/>
          <w:szCs w:val="28"/>
        </w:rPr>
        <w:t>The National Award: Recognition and Resistance</w:t>
      </w:r>
    </w:p>
    <w:p w14:paraId="181AC3CC" w14:textId="77777777" w:rsidR="003934E1" w:rsidRDefault="00000000">
      <w:pPr>
        <w:spacing w:before="280" w:after="280" w:line="360" w:lineRule="auto"/>
        <w:jc w:val="both"/>
        <w:rPr>
          <w:rFonts w:ascii="Calibri" w:eastAsia="Calibri" w:hAnsi="Calibri" w:cs="Calibri"/>
        </w:rPr>
      </w:pPr>
      <w:proofErr w:type="spellStart"/>
      <w:r>
        <w:rPr>
          <w:rFonts w:ascii="Calibri" w:eastAsia="Calibri" w:hAnsi="Calibri" w:cs="Calibri"/>
        </w:rPr>
        <w:t>Nanjiyamma's</w:t>
      </w:r>
      <w:proofErr w:type="spellEnd"/>
      <w:r>
        <w:rPr>
          <w:rFonts w:ascii="Calibri" w:eastAsia="Calibri" w:hAnsi="Calibri" w:cs="Calibri"/>
        </w:rPr>
        <w:t xml:space="preserve"> receipt of the National Award for Best Female Playback Singer in 2022 marked a historic moment in Indian cinema. The award ceremony, where she received recognition from Droupadi Murmu, India's first tribal President, symbolized institutional acknowledgment of tribal cultural contributions to national culture.</w:t>
      </w:r>
    </w:p>
    <w:p w14:paraId="55D61EC2"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However, the award also generated controversy within certain sections of the music establishment. Critics argued that conferring this recognition on a folk singer without formal training in classical traditions diminished the award's prestige. These objections reveal deeper issues regarding cultural hierarchies and the tendency to classify musical traditions as "pure" or "impure" based on their association with particular social groups.</w:t>
      </w:r>
    </w:p>
    <w:p w14:paraId="1266D46B"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resistance to </w:t>
      </w:r>
      <w:proofErr w:type="spellStart"/>
      <w:r>
        <w:rPr>
          <w:rFonts w:ascii="Calibri" w:eastAsia="Calibri" w:hAnsi="Calibri" w:cs="Calibri"/>
        </w:rPr>
        <w:t>Nanjiyamma's</w:t>
      </w:r>
      <w:proofErr w:type="spellEnd"/>
      <w:r>
        <w:rPr>
          <w:rFonts w:ascii="Calibri" w:eastAsia="Calibri" w:hAnsi="Calibri" w:cs="Calibri"/>
        </w:rPr>
        <w:t xml:space="preserve"> recognition reflects what can be understood as "cultural gatekeeping"—the tendency of dominant cultural institutions to maintain exclusivity by defining legitimate artistic expression in terms that privilege certain social groups while marginalizing others. The argument that folk music cannot be considered "substantial or serious" reveals prejudices that equate artistic value with social status rather than cultural significance or aesthetic merit.</w:t>
      </w:r>
    </w:p>
    <w:p w14:paraId="0DEFBB7B" w14:textId="77777777" w:rsidR="003934E1" w:rsidRDefault="00000000">
      <w:pPr>
        <w:spacing w:before="280" w:after="280" w:line="360" w:lineRule="auto"/>
        <w:jc w:val="both"/>
        <w:rPr>
          <w:rFonts w:ascii="Calibri" w:eastAsia="Calibri" w:hAnsi="Calibri" w:cs="Calibri"/>
        </w:rPr>
      </w:pPr>
      <w:proofErr w:type="spellStart"/>
      <w:r>
        <w:rPr>
          <w:rFonts w:ascii="Calibri" w:eastAsia="Calibri" w:hAnsi="Calibri" w:cs="Calibri"/>
        </w:rPr>
        <w:t>Nanjiyamma's</w:t>
      </w:r>
      <w:proofErr w:type="spellEnd"/>
      <w:r>
        <w:rPr>
          <w:rFonts w:ascii="Calibri" w:eastAsia="Calibri" w:hAnsi="Calibri" w:cs="Calibri"/>
        </w:rPr>
        <w:t xml:space="preserve"> victory thus represents more than individual achievement; it constitutes a challenge to cultural hierarchies that have historically excluded tribal voices from mainstream recognition. Her success without conforming to dominant cultural norms—maintaining her identity as a tribal herdswoman rather than adopting the appearance and mannerisms of classical musicians—demonstrates alternative pathways to cultural legitimacy.</w:t>
      </w:r>
    </w:p>
    <w:p w14:paraId="40F81069" w14:textId="77777777" w:rsidR="003934E1" w:rsidRDefault="00000000">
      <w:pPr>
        <w:spacing w:before="280" w:after="280" w:line="360" w:lineRule="auto"/>
        <w:jc w:val="both"/>
        <w:rPr>
          <w:rFonts w:ascii="Calibri" w:eastAsia="Calibri" w:hAnsi="Calibri" w:cs="Calibri"/>
          <w:b/>
          <w:sz w:val="28"/>
          <w:szCs w:val="28"/>
        </w:rPr>
      </w:pPr>
      <w:r>
        <w:rPr>
          <w:rFonts w:ascii="Calibri" w:eastAsia="Calibri" w:hAnsi="Calibri" w:cs="Calibri"/>
          <w:b/>
          <w:sz w:val="28"/>
          <w:szCs w:val="28"/>
        </w:rPr>
        <w:t>Intergenerational Cultural Transmission</w:t>
      </w:r>
    </w:p>
    <w:p w14:paraId="079A64DD"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engagement of younger generations with </w:t>
      </w:r>
      <w:proofErr w:type="spellStart"/>
      <w:r>
        <w:rPr>
          <w:rFonts w:ascii="Calibri" w:eastAsia="Calibri" w:hAnsi="Calibri" w:cs="Calibri"/>
        </w:rPr>
        <w:t>Nanjiyamma's</w:t>
      </w:r>
      <w:proofErr w:type="spellEnd"/>
      <w:r>
        <w:rPr>
          <w:rFonts w:ascii="Calibri" w:eastAsia="Calibri" w:hAnsi="Calibri" w:cs="Calibri"/>
        </w:rPr>
        <w:t xml:space="preserve"> work, exemplified by figures like Gen Z vlogger </w:t>
      </w:r>
      <w:proofErr w:type="spellStart"/>
      <w:r>
        <w:rPr>
          <w:rFonts w:ascii="Calibri" w:eastAsia="Calibri" w:hAnsi="Calibri" w:cs="Calibri"/>
        </w:rPr>
        <w:t>Yeadhu</w:t>
      </w:r>
      <w:proofErr w:type="spellEnd"/>
      <w:r>
        <w:rPr>
          <w:rFonts w:ascii="Calibri" w:eastAsia="Calibri" w:hAnsi="Calibri" w:cs="Calibri"/>
        </w:rPr>
        <w:t xml:space="preserve"> who documents and celebrates her contributions, illustrates evolving dynamics in tribal cultural transmission. Traditional cultural preservation typically occurred </w:t>
      </w:r>
      <w:r>
        <w:rPr>
          <w:rFonts w:ascii="Calibri" w:eastAsia="Calibri" w:hAnsi="Calibri" w:cs="Calibri"/>
        </w:rPr>
        <w:lastRenderedPageBreak/>
        <w:t>through direct community transmission from elders to youth. However, digital media has created new possibilities for cultural engagement that transcend geographic and generational boundaries.</w:t>
      </w:r>
    </w:p>
    <w:p w14:paraId="491C2829" w14:textId="77777777" w:rsidR="003934E1" w:rsidRDefault="00000000">
      <w:pPr>
        <w:spacing w:before="280" w:after="280" w:line="360" w:lineRule="auto"/>
        <w:jc w:val="both"/>
        <w:rPr>
          <w:rFonts w:ascii="Calibri" w:eastAsia="Calibri" w:hAnsi="Calibri" w:cs="Calibri"/>
        </w:rPr>
      </w:pPr>
      <w:proofErr w:type="spellStart"/>
      <w:r>
        <w:rPr>
          <w:rFonts w:ascii="Calibri" w:eastAsia="Calibri" w:hAnsi="Calibri" w:cs="Calibri"/>
        </w:rPr>
        <w:t>Yeadhu's</w:t>
      </w:r>
      <w:proofErr w:type="spellEnd"/>
      <w:r>
        <w:rPr>
          <w:rFonts w:ascii="Calibri" w:eastAsia="Calibri" w:hAnsi="Calibri" w:cs="Calibri"/>
        </w:rPr>
        <w:t xml:space="preserve"> documentation of </w:t>
      </w:r>
      <w:proofErr w:type="spellStart"/>
      <w:r>
        <w:rPr>
          <w:rFonts w:ascii="Calibri" w:eastAsia="Calibri" w:hAnsi="Calibri" w:cs="Calibri"/>
        </w:rPr>
        <w:t>Nanjiyamma's</w:t>
      </w:r>
      <w:proofErr w:type="spellEnd"/>
      <w:r>
        <w:rPr>
          <w:rFonts w:ascii="Calibri" w:eastAsia="Calibri" w:hAnsi="Calibri" w:cs="Calibri"/>
        </w:rPr>
        <w:t xml:space="preserve"> work represents a form of cultural bridging that connects traditional tribal narratives with contemporary digital culture. This intergenerational dialogue reflects broader patterns in how indigenous communities navigate modernity while maintaining cultural continuity. Young tribal individuals increasingly serve as cultural translators who help traditional knowledge and practices find relevance in contemporary contexts.</w:t>
      </w:r>
    </w:p>
    <w:p w14:paraId="583D775F"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This dynamic challenges assumptions about cultural authenticity that suggest traditional practices must remain unchanged to maintain legitimacy. Instead, the engagement between traditional artists like </w:t>
      </w:r>
      <w:proofErr w:type="spellStart"/>
      <w:r>
        <w:rPr>
          <w:rFonts w:ascii="Calibri" w:eastAsia="Calibri" w:hAnsi="Calibri" w:cs="Calibri"/>
        </w:rPr>
        <w:t>Nanjiyamma</w:t>
      </w:r>
      <w:proofErr w:type="spellEnd"/>
      <w:r>
        <w:rPr>
          <w:rFonts w:ascii="Calibri" w:eastAsia="Calibri" w:hAnsi="Calibri" w:cs="Calibri"/>
        </w:rPr>
        <w:t xml:space="preserve"> and digital-native youth demonstrates how cultural traditions can evolve and adapt while retaining their essential character and significance.</w:t>
      </w:r>
    </w:p>
    <w:p w14:paraId="4919667B" w14:textId="77777777" w:rsidR="003934E1" w:rsidRDefault="00000000">
      <w:pPr>
        <w:spacing w:before="280" w:after="280" w:line="360" w:lineRule="auto"/>
        <w:jc w:val="both"/>
        <w:rPr>
          <w:rFonts w:ascii="Calibri" w:eastAsia="Calibri" w:hAnsi="Calibri" w:cs="Calibri"/>
          <w:b/>
          <w:sz w:val="28"/>
          <w:szCs w:val="28"/>
        </w:rPr>
      </w:pPr>
      <w:r>
        <w:rPr>
          <w:rFonts w:ascii="Calibri" w:eastAsia="Calibri" w:hAnsi="Calibri" w:cs="Calibri"/>
          <w:b/>
          <w:sz w:val="28"/>
          <w:szCs w:val="28"/>
        </w:rPr>
        <w:t>Comparative Analysis with Malayalam Parallel Cinema</w:t>
      </w:r>
    </w:p>
    <w:p w14:paraId="6E7D56E5" w14:textId="77777777" w:rsidR="003934E1" w:rsidRDefault="00000000">
      <w:pPr>
        <w:spacing w:before="280" w:after="280" w:line="360" w:lineRule="auto"/>
        <w:jc w:val="both"/>
        <w:rPr>
          <w:rFonts w:ascii="Calibri" w:eastAsia="Calibri" w:hAnsi="Calibri" w:cs="Calibri"/>
        </w:rPr>
      </w:pPr>
      <w:proofErr w:type="spellStart"/>
      <w:r>
        <w:rPr>
          <w:rFonts w:ascii="Calibri" w:eastAsia="Calibri" w:hAnsi="Calibri" w:cs="Calibri"/>
        </w:rPr>
        <w:t>Nanjiyamma's</w:t>
      </w:r>
      <w:proofErr w:type="spellEnd"/>
      <w:r>
        <w:rPr>
          <w:rFonts w:ascii="Calibri" w:eastAsia="Calibri" w:hAnsi="Calibri" w:cs="Calibri"/>
        </w:rPr>
        <w:t xml:space="preserve"> achievement can be understood within the broader context of evolving Adivasi representation in Malayalam cinema. Unlike the parallel films </w:t>
      </w:r>
      <w:proofErr w:type="spellStart"/>
      <w:r>
        <w:rPr>
          <w:rFonts w:ascii="Calibri" w:eastAsia="Calibri" w:hAnsi="Calibri" w:cs="Calibri"/>
        </w:rPr>
        <w:t>analyzed</w:t>
      </w:r>
      <w:proofErr w:type="spellEnd"/>
      <w:r>
        <w:rPr>
          <w:rFonts w:ascii="Calibri" w:eastAsia="Calibri" w:hAnsi="Calibri" w:cs="Calibri"/>
        </w:rPr>
        <w:t xml:space="preserve"> by Anupama A.L., which present Adivasi women as characters within fictional narratives, </w:t>
      </w:r>
      <w:proofErr w:type="spellStart"/>
      <w:r>
        <w:rPr>
          <w:rFonts w:ascii="Calibri" w:eastAsia="Calibri" w:hAnsi="Calibri" w:cs="Calibri"/>
        </w:rPr>
        <w:t>Nanjiyamma's</w:t>
      </w:r>
      <w:proofErr w:type="spellEnd"/>
      <w:r>
        <w:rPr>
          <w:rFonts w:ascii="Calibri" w:eastAsia="Calibri" w:hAnsi="Calibri" w:cs="Calibri"/>
        </w:rPr>
        <w:t xml:space="preserve"> contribution represents direct tribal participation in cultural production. Her role as both composer and performer eliminates the mediation that typically characterizes tribal representation in cinema.</w:t>
      </w:r>
    </w:p>
    <w:p w14:paraId="597B83B4"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contrast is particularly striking when compared to mainstream Malayalam films that continue to employ non-tribal actors in tribal roles. Even progressive films that attempt respectful representation still rely on outsider perspectives to interpret tribal experiences. </w:t>
      </w:r>
      <w:proofErr w:type="spellStart"/>
      <w:r>
        <w:rPr>
          <w:rFonts w:ascii="Calibri" w:eastAsia="Calibri" w:hAnsi="Calibri" w:cs="Calibri"/>
        </w:rPr>
        <w:t>Nanjiyamma's</w:t>
      </w:r>
      <w:proofErr w:type="spellEnd"/>
      <w:r>
        <w:rPr>
          <w:rFonts w:ascii="Calibri" w:eastAsia="Calibri" w:hAnsi="Calibri" w:cs="Calibri"/>
        </w:rPr>
        <w:t xml:space="preserve"> direct participation bypasses this interpretive layer, offering what might be considered truly indigenous cultural expression. </w:t>
      </w:r>
    </w:p>
    <w:p w14:paraId="72787B9C"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Her success also demonstrates possibilities for authentic tribal representation that mainstream Malayalam cinema has yet to fully explore. While parallel cinema has made significant strides in depicting complex Adivasi characters, the commercial success of </w:t>
      </w:r>
      <w:proofErr w:type="spellStart"/>
      <w:r>
        <w:rPr>
          <w:rFonts w:ascii="Calibri" w:eastAsia="Calibri" w:hAnsi="Calibri" w:cs="Calibri"/>
          <w:i/>
        </w:rPr>
        <w:lastRenderedPageBreak/>
        <w:t>Kalakkatha</w:t>
      </w:r>
      <w:proofErr w:type="spellEnd"/>
      <w:r>
        <w:rPr>
          <w:rFonts w:ascii="Calibri" w:eastAsia="Calibri" w:hAnsi="Calibri" w:cs="Calibri"/>
        </w:rPr>
        <w:t xml:space="preserve"> suggests that mainstream audiences are receptive to authentic tribal cultural expression when presented without condescension or exoticization.</w:t>
      </w:r>
    </w:p>
    <w:p w14:paraId="132B0D1B" w14:textId="77777777" w:rsidR="003934E1" w:rsidRDefault="00000000">
      <w:pPr>
        <w:spacing w:before="280" w:after="280" w:line="360" w:lineRule="auto"/>
        <w:jc w:val="both"/>
        <w:rPr>
          <w:rFonts w:ascii="Calibri" w:eastAsia="Calibri" w:hAnsi="Calibri" w:cs="Calibri"/>
          <w:b/>
          <w:sz w:val="28"/>
          <w:szCs w:val="28"/>
        </w:rPr>
      </w:pPr>
      <w:r>
        <w:rPr>
          <w:rFonts w:ascii="Calibri" w:eastAsia="Calibri" w:hAnsi="Calibri" w:cs="Calibri"/>
          <w:b/>
          <w:sz w:val="28"/>
          <w:szCs w:val="28"/>
        </w:rPr>
        <w:t>Cultural Resistance and Revival</w:t>
      </w:r>
    </w:p>
    <w:p w14:paraId="75A27AD4" w14:textId="77777777" w:rsidR="003934E1" w:rsidRDefault="00000000">
      <w:pPr>
        <w:spacing w:before="280" w:after="280" w:line="360" w:lineRule="auto"/>
        <w:jc w:val="both"/>
        <w:rPr>
          <w:rFonts w:ascii="Calibri" w:eastAsia="Calibri" w:hAnsi="Calibri" w:cs="Calibri"/>
        </w:rPr>
      </w:pPr>
      <w:proofErr w:type="spellStart"/>
      <w:r>
        <w:rPr>
          <w:rFonts w:ascii="Calibri" w:eastAsia="Calibri" w:hAnsi="Calibri" w:cs="Calibri"/>
          <w:i/>
        </w:rPr>
        <w:t>Kalakkatha</w:t>
      </w:r>
      <w:proofErr w:type="spellEnd"/>
      <w:r>
        <w:rPr>
          <w:rFonts w:ascii="Calibri" w:eastAsia="Calibri" w:hAnsi="Calibri" w:cs="Calibri"/>
          <w:i/>
        </w:rPr>
        <w:t xml:space="preserve"> Sandana Meram</w:t>
      </w:r>
      <w:r>
        <w:rPr>
          <w:rFonts w:ascii="Calibri" w:eastAsia="Calibri" w:hAnsi="Calibri" w:cs="Calibri"/>
        </w:rPr>
        <w:t xml:space="preserve"> functions as a site of cultural resistance in multiple dimensions. Linguistically, the song challenges the dominance of standard Malayalam and other Indian languages by asserting the validity and beauty of </w:t>
      </w:r>
      <w:proofErr w:type="spellStart"/>
      <w:r>
        <w:rPr>
          <w:rFonts w:ascii="Calibri" w:eastAsia="Calibri" w:hAnsi="Calibri" w:cs="Calibri"/>
        </w:rPr>
        <w:t>Irula</w:t>
      </w:r>
      <w:proofErr w:type="spellEnd"/>
      <w:r>
        <w:rPr>
          <w:rFonts w:ascii="Calibri" w:eastAsia="Calibri" w:hAnsi="Calibri" w:cs="Calibri"/>
        </w:rPr>
        <w:t xml:space="preserve"> expression. Culturally, it resists the marginalization of tribal traditions by demonstrating their relevance and appeal in contemporary contexts.</w:t>
      </w:r>
    </w:p>
    <w:p w14:paraId="754F15CB"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song's success also represents economic resistance by creating new opportunities for tribal cultural practitioners. </w:t>
      </w:r>
      <w:proofErr w:type="spellStart"/>
      <w:r>
        <w:rPr>
          <w:rFonts w:ascii="Calibri" w:eastAsia="Calibri" w:hAnsi="Calibri" w:cs="Calibri"/>
        </w:rPr>
        <w:t>Nanjiyamma's</w:t>
      </w:r>
      <w:proofErr w:type="spellEnd"/>
      <w:r>
        <w:rPr>
          <w:rFonts w:ascii="Calibri" w:eastAsia="Calibri" w:hAnsi="Calibri" w:cs="Calibri"/>
        </w:rPr>
        <w:t xml:space="preserve"> achievement demonstrates how cultural authenticity can translate into economic opportunity, potentially inspiring other tribal artists to pursue similar paths. This economic dimension is crucial for communities facing traditional livelihood challenges due to environmental and social changes.</w:t>
      </w:r>
    </w:p>
    <w:p w14:paraId="7603F378"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Furthermore, the song contributes to cultural revival by inspiring pride in </w:t>
      </w:r>
      <w:proofErr w:type="spellStart"/>
      <w:r>
        <w:rPr>
          <w:rFonts w:ascii="Calibri" w:eastAsia="Calibri" w:hAnsi="Calibri" w:cs="Calibri"/>
        </w:rPr>
        <w:t>Irula</w:t>
      </w:r>
      <w:proofErr w:type="spellEnd"/>
      <w:r>
        <w:rPr>
          <w:rFonts w:ascii="Calibri" w:eastAsia="Calibri" w:hAnsi="Calibri" w:cs="Calibri"/>
        </w:rPr>
        <w:t xml:space="preserve"> identity among community members. Seeing their language and culture celebrated on national platforms can strengthen cultural confidence and encourage intergenerational transmission of traditional knowledge. This psychological dimension of cultural resistance often proves as important as more visible forms of political or economic assertion.</w:t>
      </w:r>
    </w:p>
    <w:p w14:paraId="10A04400" w14:textId="77777777" w:rsidR="003934E1" w:rsidRDefault="00000000">
      <w:pPr>
        <w:spacing w:before="280" w:after="280" w:line="360" w:lineRule="auto"/>
        <w:jc w:val="both"/>
        <w:rPr>
          <w:rFonts w:ascii="Calibri" w:eastAsia="Calibri" w:hAnsi="Calibri" w:cs="Calibri"/>
          <w:b/>
          <w:sz w:val="28"/>
          <w:szCs w:val="28"/>
        </w:rPr>
      </w:pPr>
      <w:r>
        <w:rPr>
          <w:rFonts w:ascii="Calibri" w:eastAsia="Calibri" w:hAnsi="Calibri" w:cs="Calibri"/>
          <w:b/>
          <w:sz w:val="28"/>
          <w:szCs w:val="28"/>
        </w:rPr>
        <w:t>Challenges and Limitations</w:t>
      </w:r>
    </w:p>
    <w:p w14:paraId="6F5D5BC9"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Despite its significance, </w:t>
      </w:r>
      <w:proofErr w:type="spellStart"/>
      <w:r>
        <w:rPr>
          <w:rFonts w:ascii="Calibri" w:eastAsia="Calibri" w:hAnsi="Calibri" w:cs="Calibri"/>
        </w:rPr>
        <w:t>Nanjiyamma's</w:t>
      </w:r>
      <w:proofErr w:type="spellEnd"/>
      <w:r>
        <w:rPr>
          <w:rFonts w:ascii="Calibri" w:eastAsia="Calibri" w:hAnsi="Calibri" w:cs="Calibri"/>
        </w:rPr>
        <w:t xml:space="preserve"> success also reveals ongoing challenges in tribal cultural representation. The exceptional nature of her achievement highlights how rare authentic tribal participation in mainstream cultural production remains. One individual's success, while inspiring, cannot address systemic exclusion of tribal voices from cultural institutions.</w:t>
      </w:r>
    </w:p>
    <w:p w14:paraId="6B97192A"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Additionally, the commodification of tribal culture through commercial cinema raises questions about cultural appropriation and exploitation. While </w:t>
      </w:r>
      <w:proofErr w:type="spellStart"/>
      <w:r>
        <w:rPr>
          <w:rFonts w:ascii="Calibri" w:eastAsia="Calibri" w:hAnsi="Calibri" w:cs="Calibri"/>
        </w:rPr>
        <w:t>Nanjiyamma</w:t>
      </w:r>
      <w:proofErr w:type="spellEnd"/>
      <w:r>
        <w:rPr>
          <w:rFonts w:ascii="Calibri" w:eastAsia="Calibri" w:hAnsi="Calibri" w:cs="Calibri"/>
        </w:rPr>
        <w:t xml:space="preserve"> maintained </w:t>
      </w:r>
      <w:r>
        <w:rPr>
          <w:rFonts w:ascii="Calibri" w:eastAsia="Calibri" w:hAnsi="Calibri" w:cs="Calibri"/>
        </w:rPr>
        <w:lastRenderedPageBreak/>
        <w:t>control over her artistic expression, the integration of tribal cultural elements into commercial entertainment industries can lead to decontextualization and misrepresentation.</w:t>
      </w:r>
    </w:p>
    <w:p w14:paraId="1EAD56B9"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sustainability of this form of cultural engagement also remains uncertain. Without structural changes in how cultural institutions operate, individual successes may remain exceptional rather than becoming patterns that create broader opportunities for tribal cultural practitioners. </w:t>
      </w:r>
      <w:proofErr w:type="spellStart"/>
      <w:r>
        <w:rPr>
          <w:rFonts w:ascii="Calibri" w:eastAsia="Calibri" w:hAnsi="Calibri" w:cs="Calibri"/>
        </w:rPr>
        <w:t>Nanjiyamma's</w:t>
      </w:r>
      <w:proofErr w:type="spellEnd"/>
      <w:r>
        <w:rPr>
          <w:rFonts w:ascii="Calibri" w:eastAsia="Calibri" w:hAnsi="Calibri" w:cs="Calibri"/>
        </w:rPr>
        <w:t xml:space="preserve"> achievement suggests several important directions for future tribal cultural representation. Her success demonstrates the viability of authentic tribal participation in mainstream cultural production, potentially inspiring similar efforts by other tribal artists and communities. This could lead to greater diversity in cultural expression and more accurate representation of India's tribal heritage.</w:t>
      </w:r>
    </w:p>
    <w:p w14:paraId="7AE4B16C"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The digital reception of her work also suggests possibilities for direct tribal engagement with audiences that bypass traditional cultural gatekeepers. Social media and digital platforms create opportunities for tribal artists to build audiences and create sustainable cultural practices without conforming to mainstream institutional requirements.</w:t>
      </w:r>
    </w:p>
    <w:p w14:paraId="3277819C"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Educational institutions might also draw lessons from </w:t>
      </w:r>
      <w:proofErr w:type="spellStart"/>
      <w:r>
        <w:rPr>
          <w:rFonts w:ascii="Calibri" w:eastAsia="Calibri" w:hAnsi="Calibri" w:cs="Calibri"/>
        </w:rPr>
        <w:t>Nanjiyamma's</w:t>
      </w:r>
      <w:proofErr w:type="spellEnd"/>
      <w:r>
        <w:rPr>
          <w:rFonts w:ascii="Calibri" w:eastAsia="Calibri" w:hAnsi="Calibri" w:cs="Calibri"/>
        </w:rPr>
        <w:t xml:space="preserve"> success about the value of incorporating authentic tribal cultural content into curricula. Rather than studying tribal communities as objects of anthropological interest, educational approaches could engage with tribal cultural productions as legitimate artistic and intellectual contributions.</w:t>
      </w:r>
    </w:p>
    <w:p w14:paraId="2DB3FD70" w14:textId="77777777" w:rsidR="003934E1" w:rsidRDefault="00000000">
      <w:pPr>
        <w:spacing w:before="280" w:after="280" w:line="360" w:lineRule="auto"/>
        <w:jc w:val="both"/>
        <w:rPr>
          <w:rFonts w:ascii="Calibri" w:eastAsia="Calibri" w:hAnsi="Calibri" w:cs="Calibri"/>
          <w:b/>
          <w:sz w:val="28"/>
          <w:szCs w:val="28"/>
        </w:rPr>
      </w:pPr>
      <w:r>
        <w:rPr>
          <w:rFonts w:ascii="Calibri" w:eastAsia="Calibri" w:hAnsi="Calibri" w:cs="Calibri"/>
          <w:b/>
          <w:sz w:val="28"/>
          <w:szCs w:val="28"/>
        </w:rPr>
        <w:t>Conclusion</w:t>
      </w:r>
    </w:p>
    <w:p w14:paraId="6D0E7B44" w14:textId="77777777" w:rsidR="003934E1" w:rsidRDefault="00000000">
      <w:pPr>
        <w:spacing w:before="280" w:after="280" w:line="360" w:lineRule="auto"/>
        <w:jc w:val="both"/>
        <w:rPr>
          <w:rFonts w:ascii="Calibri" w:eastAsia="Calibri" w:hAnsi="Calibri" w:cs="Calibri"/>
        </w:rPr>
      </w:pPr>
      <w:proofErr w:type="spellStart"/>
      <w:r>
        <w:rPr>
          <w:rFonts w:ascii="Calibri" w:eastAsia="Calibri" w:hAnsi="Calibri" w:cs="Calibri"/>
        </w:rPr>
        <w:t>Nanjiyamma's</w:t>
      </w:r>
      <w:proofErr w:type="spellEnd"/>
      <w:r>
        <w:rPr>
          <w:rFonts w:ascii="Calibri" w:eastAsia="Calibri" w:hAnsi="Calibri" w:cs="Calibri"/>
        </w:rPr>
        <w:t xml:space="preserve"> journey from the tribal hamlet of </w:t>
      </w:r>
      <w:proofErr w:type="spellStart"/>
      <w:r>
        <w:rPr>
          <w:rFonts w:ascii="Calibri" w:eastAsia="Calibri" w:hAnsi="Calibri" w:cs="Calibri"/>
        </w:rPr>
        <w:t>Nakkupathi</w:t>
      </w:r>
      <w:proofErr w:type="spellEnd"/>
      <w:r>
        <w:rPr>
          <w:rFonts w:ascii="Calibri" w:eastAsia="Calibri" w:hAnsi="Calibri" w:cs="Calibri"/>
        </w:rPr>
        <w:t xml:space="preserve"> </w:t>
      </w:r>
      <w:proofErr w:type="spellStart"/>
      <w:r>
        <w:rPr>
          <w:rFonts w:ascii="Calibri" w:eastAsia="Calibri" w:hAnsi="Calibri" w:cs="Calibri"/>
        </w:rPr>
        <w:t>Pirivu</w:t>
      </w:r>
      <w:proofErr w:type="spellEnd"/>
      <w:r>
        <w:rPr>
          <w:rFonts w:ascii="Calibri" w:eastAsia="Calibri" w:hAnsi="Calibri" w:cs="Calibri"/>
        </w:rPr>
        <w:t xml:space="preserve"> to national recognition represents a paradigmatic shift in tribal cultural representation. Her success with </w:t>
      </w:r>
      <w:proofErr w:type="spellStart"/>
      <w:r>
        <w:rPr>
          <w:rFonts w:ascii="Calibri" w:eastAsia="Calibri" w:hAnsi="Calibri" w:cs="Calibri"/>
          <w:i/>
        </w:rPr>
        <w:t>Kalakkatha</w:t>
      </w:r>
      <w:proofErr w:type="spellEnd"/>
      <w:r>
        <w:rPr>
          <w:rFonts w:ascii="Calibri" w:eastAsia="Calibri" w:hAnsi="Calibri" w:cs="Calibri"/>
          <w:i/>
        </w:rPr>
        <w:t xml:space="preserve"> Sandana Meram</w:t>
      </w:r>
      <w:r>
        <w:rPr>
          <w:rFonts w:ascii="Calibri" w:eastAsia="Calibri" w:hAnsi="Calibri" w:cs="Calibri"/>
        </w:rPr>
        <w:t xml:space="preserve"> demonstrates how indigenous oral traditions can thrive in digital and commercial spaces while maintaining their authenticity and cultural significance.</w:t>
      </w:r>
    </w:p>
    <w:p w14:paraId="5F9BC7C7"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song functions as both cultural preservation and resistance, asserting the validity of </w:t>
      </w:r>
      <w:proofErr w:type="spellStart"/>
      <w:r>
        <w:rPr>
          <w:rFonts w:ascii="Calibri" w:eastAsia="Calibri" w:hAnsi="Calibri" w:cs="Calibri"/>
        </w:rPr>
        <w:t>Irula</w:t>
      </w:r>
      <w:proofErr w:type="spellEnd"/>
      <w:r>
        <w:rPr>
          <w:rFonts w:ascii="Calibri" w:eastAsia="Calibri" w:hAnsi="Calibri" w:cs="Calibri"/>
        </w:rPr>
        <w:t xml:space="preserve"> language and culture while challenging hierarchies that have historically marginalized tribal voices. </w:t>
      </w:r>
      <w:proofErr w:type="spellStart"/>
      <w:r>
        <w:rPr>
          <w:rFonts w:ascii="Calibri" w:eastAsia="Calibri" w:hAnsi="Calibri" w:cs="Calibri"/>
        </w:rPr>
        <w:t>Nanjiyamma's</w:t>
      </w:r>
      <w:proofErr w:type="spellEnd"/>
      <w:r>
        <w:rPr>
          <w:rFonts w:ascii="Calibri" w:eastAsia="Calibri" w:hAnsi="Calibri" w:cs="Calibri"/>
        </w:rPr>
        <w:t xml:space="preserve"> achievement without conforming to dominant cultural norms provides an alternative model for cultural legitimacy that </w:t>
      </w:r>
      <w:proofErr w:type="spellStart"/>
      <w:r>
        <w:rPr>
          <w:rFonts w:ascii="Calibri" w:eastAsia="Calibri" w:hAnsi="Calibri" w:cs="Calibri"/>
        </w:rPr>
        <w:t>honors</w:t>
      </w:r>
      <w:proofErr w:type="spellEnd"/>
      <w:r>
        <w:rPr>
          <w:rFonts w:ascii="Calibri" w:eastAsia="Calibri" w:hAnsi="Calibri" w:cs="Calibri"/>
        </w:rPr>
        <w:t xml:space="preserve"> tribal identity and traditions.</w:t>
      </w:r>
    </w:p>
    <w:p w14:paraId="764C02AB"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lastRenderedPageBreak/>
        <w:t>Her success also illustrates the evolving dynamics of cultural transmission in the digital age, where traditional knowledge finds new forms of expression and engagement. The intergenerational dialogue sparked by her work suggests possibilities for cultural continuity that adapt to contemporary circumstances while maintaining essential connections to tribal heritage.</w:t>
      </w:r>
    </w:p>
    <w:p w14:paraId="5D0F511B"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While challenges remain in achieving systematic inclusion of tribal voices in cultural institutions, </w:t>
      </w:r>
      <w:proofErr w:type="spellStart"/>
      <w:r>
        <w:rPr>
          <w:rFonts w:ascii="Calibri" w:eastAsia="Calibri" w:hAnsi="Calibri" w:cs="Calibri"/>
        </w:rPr>
        <w:t>Nanjiyamma's</w:t>
      </w:r>
      <w:proofErr w:type="spellEnd"/>
      <w:r>
        <w:rPr>
          <w:rFonts w:ascii="Calibri" w:eastAsia="Calibri" w:hAnsi="Calibri" w:cs="Calibri"/>
        </w:rPr>
        <w:t xml:space="preserve"> achievement provides both inspiration and a practical model for authentic tribal cultural participation. Her story demonstrates that the </w:t>
      </w:r>
      <w:proofErr w:type="spellStart"/>
      <w:r>
        <w:rPr>
          <w:rFonts w:ascii="Calibri" w:eastAsia="Calibri" w:hAnsi="Calibri" w:cs="Calibri"/>
        </w:rPr>
        <w:t>Irula</w:t>
      </w:r>
      <w:proofErr w:type="spellEnd"/>
      <w:r>
        <w:rPr>
          <w:rFonts w:ascii="Calibri" w:eastAsia="Calibri" w:hAnsi="Calibri" w:cs="Calibri"/>
        </w:rPr>
        <w:t xml:space="preserve"> community's folk traditions are not static remnants but evolving cultural assets that can bridge tradition and modernity, marginalization and recognition.</w:t>
      </w:r>
    </w:p>
    <w:p w14:paraId="2FA763BC"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As Malayalam cinema continues to evolve in its representation of Adivasi communities, </w:t>
      </w:r>
      <w:proofErr w:type="spellStart"/>
      <w:r>
        <w:rPr>
          <w:rFonts w:ascii="Calibri" w:eastAsia="Calibri" w:hAnsi="Calibri" w:cs="Calibri"/>
        </w:rPr>
        <w:t>Nanjiyamma's</w:t>
      </w:r>
      <w:proofErr w:type="spellEnd"/>
      <w:r>
        <w:rPr>
          <w:rFonts w:ascii="Calibri" w:eastAsia="Calibri" w:hAnsi="Calibri" w:cs="Calibri"/>
        </w:rPr>
        <w:t xml:space="preserve"> contribution stands as an example of how authentic tribal participation can enrich both cultural production and social understanding. Her march from </w:t>
      </w:r>
      <w:proofErr w:type="spellStart"/>
      <w:r>
        <w:rPr>
          <w:rFonts w:ascii="Calibri" w:eastAsia="Calibri" w:hAnsi="Calibri" w:cs="Calibri"/>
        </w:rPr>
        <w:t>Attappadi</w:t>
      </w:r>
      <w:proofErr w:type="spellEnd"/>
      <w:r>
        <w:rPr>
          <w:rFonts w:ascii="Calibri" w:eastAsia="Calibri" w:hAnsi="Calibri" w:cs="Calibri"/>
        </w:rPr>
        <w:t xml:space="preserve"> to the national stage represents not just individual achievement but a broader movement toward the democratization of cultural representation that recognizes the enduring vitality of India's tribal heritage in the 21st century.</w:t>
      </w:r>
    </w:p>
    <w:p w14:paraId="43A9DE7E" w14:textId="77777777" w:rsidR="003934E1" w:rsidRDefault="00000000">
      <w:pPr>
        <w:spacing w:before="280" w:after="280" w:line="360" w:lineRule="auto"/>
        <w:jc w:val="both"/>
        <w:rPr>
          <w:rFonts w:ascii="Calibri" w:eastAsia="Calibri" w:hAnsi="Calibri" w:cs="Calibri"/>
        </w:rPr>
      </w:pPr>
      <w:r>
        <w:rPr>
          <w:rFonts w:ascii="Calibri" w:eastAsia="Calibri" w:hAnsi="Calibri" w:cs="Calibri"/>
        </w:rPr>
        <w:t xml:space="preserve">The significance of her achievement extends beyond the realm of entertainment to encompass broader questions of cultural justice, linguistic preservation, and social inclusion. In an era when tribal communities face ongoing challenges to their cultural survival, </w:t>
      </w:r>
      <w:proofErr w:type="spellStart"/>
      <w:r>
        <w:rPr>
          <w:rFonts w:ascii="Calibri" w:eastAsia="Calibri" w:hAnsi="Calibri" w:cs="Calibri"/>
        </w:rPr>
        <w:t>Nanjiyamma's</w:t>
      </w:r>
      <w:proofErr w:type="spellEnd"/>
      <w:r>
        <w:rPr>
          <w:rFonts w:ascii="Calibri" w:eastAsia="Calibri" w:hAnsi="Calibri" w:cs="Calibri"/>
        </w:rPr>
        <w:t xml:space="preserve"> success provides hope that traditional knowledge and practices can find new forms of expression and recognition that </w:t>
      </w:r>
      <w:proofErr w:type="spellStart"/>
      <w:r>
        <w:rPr>
          <w:rFonts w:ascii="Calibri" w:eastAsia="Calibri" w:hAnsi="Calibri" w:cs="Calibri"/>
        </w:rPr>
        <w:t>honor</w:t>
      </w:r>
      <w:proofErr w:type="spellEnd"/>
      <w:r>
        <w:rPr>
          <w:rFonts w:ascii="Calibri" w:eastAsia="Calibri" w:hAnsi="Calibri" w:cs="Calibri"/>
        </w:rPr>
        <w:t xml:space="preserve"> their integrity while ensuring their continuity for future generations.</w:t>
      </w:r>
    </w:p>
    <w:p w14:paraId="66C94E47" w14:textId="77777777" w:rsidR="003934E1" w:rsidRDefault="003934E1">
      <w:pPr>
        <w:spacing w:line="360" w:lineRule="auto"/>
        <w:jc w:val="both"/>
        <w:rPr>
          <w:rFonts w:ascii="Calibri" w:eastAsia="Calibri" w:hAnsi="Calibri" w:cs="Calibri"/>
        </w:rPr>
      </w:pPr>
    </w:p>
    <w:p w14:paraId="53CCF712" w14:textId="77777777" w:rsidR="003934E1" w:rsidRDefault="003934E1">
      <w:pPr>
        <w:spacing w:before="280" w:after="280" w:line="360" w:lineRule="auto"/>
        <w:jc w:val="both"/>
        <w:rPr>
          <w:rFonts w:ascii="Calibri" w:eastAsia="Calibri" w:hAnsi="Calibri" w:cs="Calibri"/>
          <w:b/>
        </w:rPr>
      </w:pPr>
    </w:p>
    <w:p w14:paraId="792F6259" w14:textId="77777777" w:rsidR="003934E1" w:rsidRDefault="003934E1">
      <w:pPr>
        <w:spacing w:before="280" w:after="280" w:line="360" w:lineRule="auto"/>
        <w:jc w:val="both"/>
        <w:rPr>
          <w:rFonts w:ascii="Calibri" w:eastAsia="Calibri" w:hAnsi="Calibri" w:cs="Calibri"/>
          <w:b/>
        </w:rPr>
      </w:pPr>
    </w:p>
    <w:p w14:paraId="29DCF75B" w14:textId="77777777" w:rsidR="003934E1" w:rsidRDefault="003934E1">
      <w:pPr>
        <w:spacing w:before="280" w:after="280" w:line="360" w:lineRule="auto"/>
        <w:jc w:val="both"/>
        <w:rPr>
          <w:rFonts w:ascii="Calibri" w:eastAsia="Calibri" w:hAnsi="Calibri" w:cs="Calibri"/>
          <w:b/>
        </w:rPr>
      </w:pPr>
    </w:p>
    <w:p w14:paraId="1D0A1DAD" w14:textId="77777777" w:rsidR="003934E1" w:rsidRDefault="003934E1">
      <w:pPr>
        <w:spacing w:before="280" w:after="280" w:line="360" w:lineRule="auto"/>
        <w:jc w:val="both"/>
        <w:rPr>
          <w:rFonts w:ascii="Calibri" w:eastAsia="Calibri" w:hAnsi="Calibri" w:cs="Calibri"/>
          <w:b/>
        </w:rPr>
      </w:pPr>
    </w:p>
    <w:p w14:paraId="2821317E" w14:textId="77777777" w:rsidR="003934E1" w:rsidRDefault="003934E1">
      <w:pPr>
        <w:spacing w:before="280" w:after="280" w:line="360" w:lineRule="auto"/>
        <w:jc w:val="both"/>
        <w:rPr>
          <w:rFonts w:ascii="Calibri" w:eastAsia="Calibri" w:hAnsi="Calibri" w:cs="Calibri"/>
          <w:b/>
        </w:rPr>
      </w:pPr>
    </w:p>
    <w:p w14:paraId="1C7478BB" w14:textId="77777777" w:rsidR="003934E1" w:rsidRDefault="003934E1">
      <w:pPr>
        <w:spacing w:before="280" w:after="280" w:line="360" w:lineRule="auto"/>
        <w:jc w:val="both"/>
        <w:rPr>
          <w:rFonts w:ascii="Calibri" w:eastAsia="Calibri" w:hAnsi="Calibri" w:cs="Calibri"/>
          <w:b/>
        </w:rPr>
      </w:pPr>
    </w:p>
    <w:p w14:paraId="3B485C20" w14:textId="77777777" w:rsidR="003934E1" w:rsidRDefault="003934E1">
      <w:pPr>
        <w:spacing w:before="280" w:after="280" w:line="360" w:lineRule="auto"/>
        <w:jc w:val="both"/>
        <w:rPr>
          <w:rFonts w:ascii="Calibri" w:eastAsia="Calibri" w:hAnsi="Calibri" w:cs="Calibri"/>
          <w:b/>
        </w:rPr>
      </w:pPr>
      <w:bookmarkStart w:id="15" w:name="_heading=h.tc079tft7lu6" w:colFirst="0" w:colLast="0"/>
      <w:bookmarkEnd w:id="15"/>
    </w:p>
    <w:p w14:paraId="62030852" w14:textId="77777777" w:rsidR="003934E1" w:rsidRDefault="00000000">
      <w:pPr>
        <w:spacing w:before="280" w:after="280" w:line="360" w:lineRule="auto"/>
        <w:jc w:val="both"/>
        <w:rPr>
          <w:rFonts w:ascii="Calibri" w:eastAsia="Calibri" w:hAnsi="Calibri" w:cs="Calibri"/>
          <w:b/>
          <w:sz w:val="28"/>
          <w:szCs w:val="28"/>
        </w:rPr>
      </w:pPr>
      <w:r>
        <w:rPr>
          <w:rFonts w:ascii="Calibri" w:eastAsia="Calibri" w:hAnsi="Calibri" w:cs="Calibri"/>
          <w:b/>
          <w:sz w:val="28"/>
          <w:szCs w:val="28"/>
        </w:rPr>
        <w:t>References</w:t>
      </w:r>
    </w:p>
    <w:p w14:paraId="296323AF" w14:textId="77777777" w:rsidR="003934E1" w:rsidRDefault="00000000">
      <w:pPr>
        <w:spacing w:before="280" w:after="280" w:line="360" w:lineRule="auto"/>
        <w:jc w:val="both"/>
        <w:rPr>
          <w:rFonts w:ascii="Calibri" w:eastAsia="Calibri" w:hAnsi="Calibri" w:cs="Calibri"/>
          <w:sz w:val="20"/>
          <w:szCs w:val="20"/>
        </w:rPr>
      </w:pPr>
      <w:r>
        <w:rPr>
          <w:rFonts w:ascii="Calibri" w:eastAsia="Calibri" w:hAnsi="Calibri" w:cs="Calibri"/>
          <w:sz w:val="20"/>
          <w:szCs w:val="20"/>
        </w:rPr>
        <w:t xml:space="preserve">Anupama, A. L. (2023). And their voices resonated from parallel worlds: A study on the portrayal of Adivasi women characters in Malayalam parallel cinema. </w:t>
      </w:r>
      <w:r>
        <w:rPr>
          <w:rFonts w:ascii="Calibri" w:eastAsia="Calibri" w:hAnsi="Calibri" w:cs="Calibri"/>
          <w:i/>
          <w:sz w:val="20"/>
          <w:szCs w:val="20"/>
        </w:rPr>
        <w:t xml:space="preserve">Ishal </w:t>
      </w:r>
      <w:proofErr w:type="spellStart"/>
      <w:r>
        <w:rPr>
          <w:rFonts w:ascii="Calibri" w:eastAsia="Calibri" w:hAnsi="Calibri" w:cs="Calibri"/>
          <w:i/>
          <w:sz w:val="20"/>
          <w:szCs w:val="20"/>
        </w:rPr>
        <w:t>Paithrkam</w:t>
      </w:r>
      <w:proofErr w:type="spellEnd"/>
      <w:r>
        <w:rPr>
          <w:rFonts w:ascii="Calibri" w:eastAsia="Calibri" w:hAnsi="Calibri" w:cs="Calibri"/>
          <w:i/>
          <w:sz w:val="20"/>
          <w:szCs w:val="20"/>
        </w:rPr>
        <w:t>, 32</w:t>
      </w:r>
      <w:r>
        <w:rPr>
          <w:rFonts w:ascii="Calibri" w:eastAsia="Calibri" w:hAnsi="Calibri" w:cs="Calibri"/>
          <w:sz w:val="20"/>
          <w:szCs w:val="20"/>
        </w:rPr>
        <w:t>, 65–81.</w:t>
      </w:r>
    </w:p>
    <w:p w14:paraId="5B5CA7A5" w14:textId="77777777" w:rsidR="003934E1" w:rsidRDefault="00000000">
      <w:pPr>
        <w:spacing w:before="280" w:after="280" w:line="360" w:lineRule="auto"/>
        <w:jc w:val="both"/>
        <w:rPr>
          <w:rFonts w:ascii="Calibri" w:eastAsia="Calibri" w:hAnsi="Calibri" w:cs="Calibri"/>
          <w:sz w:val="20"/>
          <w:szCs w:val="20"/>
        </w:rPr>
      </w:pPr>
      <w:proofErr w:type="spellStart"/>
      <w:r>
        <w:rPr>
          <w:rFonts w:ascii="Calibri" w:eastAsia="Calibri" w:hAnsi="Calibri" w:cs="Calibri"/>
          <w:sz w:val="20"/>
          <w:szCs w:val="20"/>
        </w:rPr>
        <w:t>Ayyappanum</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Koshiyum</w:t>
      </w:r>
      <w:proofErr w:type="spellEnd"/>
      <w:r>
        <w:rPr>
          <w:rFonts w:ascii="Calibri" w:eastAsia="Calibri" w:hAnsi="Calibri" w:cs="Calibri"/>
          <w:sz w:val="20"/>
          <w:szCs w:val="20"/>
        </w:rPr>
        <w:t xml:space="preserve">. (2020). [Film]. Directed by </w:t>
      </w:r>
      <w:proofErr w:type="spellStart"/>
      <w:r>
        <w:rPr>
          <w:rFonts w:ascii="Calibri" w:eastAsia="Calibri" w:hAnsi="Calibri" w:cs="Calibri"/>
          <w:sz w:val="20"/>
          <w:szCs w:val="20"/>
        </w:rPr>
        <w:t>Sachy</w:t>
      </w:r>
      <w:proofErr w:type="spellEnd"/>
      <w:r>
        <w:rPr>
          <w:rFonts w:ascii="Calibri" w:eastAsia="Calibri" w:hAnsi="Calibri" w:cs="Calibri"/>
          <w:sz w:val="20"/>
          <w:szCs w:val="20"/>
        </w:rPr>
        <w:t>. Produced by Ranjith &amp; P. M. Sasidharan. Gold Coin Motion Picture Company.</w:t>
      </w:r>
    </w:p>
    <w:p w14:paraId="0C985231" w14:textId="77777777" w:rsidR="003934E1" w:rsidRDefault="00000000">
      <w:pPr>
        <w:spacing w:before="280" w:after="280" w:line="360" w:lineRule="auto"/>
        <w:jc w:val="both"/>
        <w:rPr>
          <w:rFonts w:ascii="Calibri" w:eastAsia="Calibri" w:hAnsi="Calibri" w:cs="Calibri"/>
          <w:sz w:val="20"/>
          <w:szCs w:val="20"/>
        </w:rPr>
      </w:pPr>
      <w:r>
        <w:rPr>
          <w:rFonts w:ascii="Calibri" w:eastAsia="Calibri" w:hAnsi="Calibri" w:cs="Calibri"/>
          <w:sz w:val="20"/>
          <w:szCs w:val="20"/>
        </w:rPr>
        <w:t xml:space="preserve">Diwakar, B. (2022). </w:t>
      </w:r>
      <w:proofErr w:type="spellStart"/>
      <w:r>
        <w:rPr>
          <w:rFonts w:ascii="Calibri" w:eastAsia="Calibri" w:hAnsi="Calibri" w:cs="Calibri"/>
          <w:sz w:val="20"/>
          <w:szCs w:val="20"/>
        </w:rPr>
        <w:t>Nanjiyamma's</w:t>
      </w:r>
      <w:proofErr w:type="spellEnd"/>
      <w:r>
        <w:rPr>
          <w:rFonts w:ascii="Calibri" w:eastAsia="Calibri" w:hAnsi="Calibri" w:cs="Calibri"/>
          <w:sz w:val="20"/>
          <w:szCs w:val="20"/>
        </w:rPr>
        <w:t xml:space="preserve"> march from </w:t>
      </w:r>
      <w:proofErr w:type="spellStart"/>
      <w:r>
        <w:rPr>
          <w:rFonts w:ascii="Calibri" w:eastAsia="Calibri" w:hAnsi="Calibri" w:cs="Calibri"/>
          <w:sz w:val="20"/>
          <w:szCs w:val="20"/>
        </w:rPr>
        <w:t>Nakkupathi</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Pirivu</w:t>
      </w:r>
      <w:proofErr w:type="spellEnd"/>
      <w:r>
        <w:rPr>
          <w:rFonts w:ascii="Calibri" w:eastAsia="Calibri" w:hAnsi="Calibri" w:cs="Calibri"/>
          <w:sz w:val="20"/>
          <w:szCs w:val="20"/>
        </w:rPr>
        <w:t xml:space="preserve">, her tribal hamlet, to Vigyan Bhavan in the country's capital is historic. </w:t>
      </w:r>
      <w:r>
        <w:rPr>
          <w:rFonts w:ascii="Calibri" w:eastAsia="Calibri" w:hAnsi="Calibri" w:cs="Calibri"/>
          <w:i/>
          <w:sz w:val="20"/>
          <w:szCs w:val="20"/>
        </w:rPr>
        <w:t>Economic &amp; Political Weekly, 57</w:t>
      </w:r>
      <w:r>
        <w:rPr>
          <w:rFonts w:ascii="Calibri" w:eastAsia="Calibri" w:hAnsi="Calibri" w:cs="Calibri"/>
          <w:sz w:val="20"/>
          <w:szCs w:val="20"/>
        </w:rPr>
        <w:t>(48), 72.</w:t>
      </w:r>
    </w:p>
    <w:p w14:paraId="4A95CED5" w14:textId="77777777" w:rsidR="003934E1" w:rsidRDefault="00000000">
      <w:pPr>
        <w:spacing w:before="280" w:after="280" w:line="360" w:lineRule="auto"/>
        <w:jc w:val="both"/>
        <w:rPr>
          <w:rFonts w:ascii="Calibri" w:eastAsia="Calibri" w:hAnsi="Calibri" w:cs="Calibri"/>
          <w:sz w:val="20"/>
          <w:szCs w:val="20"/>
        </w:rPr>
      </w:pPr>
      <w:r>
        <w:rPr>
          <w:rFonts w:ascii="Calibri" w:eastAsia="Calibri" w:hAnsi="Calibri" w:cs="Calibri"/>
          <w:sz w:val="20"/>
          <w:szCs w:val="20"/>
        </w:rPr>
        <w:t xml:space="preserve">Jose, J. P., &amp; </w:t>
      </w:r>
      <w:proofErr w:type="spellStart"/>
      <w:r>
        <w:rPr>
          <w:rFonts w:ascii="Calibri" w:eastAsia="Calibri" w:hAnsi="Calibri" w:cs="Calibri"/>
          <w:sz w:val="20"/>
          <w:szCs w:val="20"/>
        </w:rPr>
        <w:t>Cherayi</w:t>
      </w:r>
      <w:proofErr w:type="spellEnd"/>
      <w:r>
        <w:rPr>
          <w:rFonts w:ascii="Calibri" w:eastAsia="Calibri" w:hAnsi="Calibri" w:cs="Calibri"/>
          <w:sz w:val="20"/>
          <w:szCs w:val="20"/>
        </w:rPr>
        <w:t xml:space="preserve">, S. (2018). Life of tribal women in Kerala: Identity, psychosocial disability and social exclusion. </w:t>
      </w:r>
      <w:r>
        <w:rPr>
          <w:rFonts w:ascii="Calibri" w:eastAsia="Calibri" w:hAnsi="Calibri" w:cs="Calibri"/>
          <w:i/>
          <w:sz w:val="20"/>
          <w:szCs w:val="20"/>
        </w:rPr>
        <w:t>International Journal of Social Science, 7</w:t>
      </w:r>
      <w:r>
        <w:rPr>
          <w:rFonts w:ascii="Calibri" w:eastAsia="Calibri" w:hAnsi="Calibri" w:cs="Calibri"/>
          <w:sz w:val="20"/>
          <w:szCs w:val="20"/>
        </w:rPr>
        <w:t>(3), 373–386.</w:t>
      </w:r>
    </w:p>
    <w:p w14:paraId="702CA196" w14:textId="77777777" w:rsidR="003934E1" w:rsidRDefault="00000000">
      <w:pPr>
        <w:spacing w:before="280" w:after="280" w:line="360" w:lineRule="auto"/>
        <w:jc w:val="both"/>
        <w:rPr>
          <w:rFonts w:ascii="Calibri" w:eastAsia="Calibri" w:hAnsi="Calibri" w:cs="Calibri"/>
          <w:sz w:val="20"/>
          <w:szCs w:val="20"/>
        </w:rPr>
      </w:pPr>
      <w:r>
        <w:rPr>
          <w:rFonts w:ascii="Calibri" w:eastAsia="Calibri" w:hAnsi="Calibri" w:cs="Calibri"/>
          <w:sz w:val="20"/>
          <w:szCs w:val="20"/>
        </w:rPr>
        <w:t xml:space="preserve">Kerala State Planning Board. (2017). </w:t>
      </w:r>
      <w:r>
        <w:rPr>
          <w:rFonts w:ascii="Calibri" w:eastAsia="Calibri" w:hAnsi="Calibri" w:cs="Calibri"/>
          <w:i/>
          <w:sz w:val="20"/>
          <w:szCs w:val="20"/>
        </w:rPr>
        <w:t>Working group on Scheduled Tribes development report</w:t>
      </w:r>
      <w:r>
        <w:rPr>
          <w:rFonts w:ascii="Calibri" w:eastAsia="Calibri" w:hAnsi="Calibri" w:cs="Calibri"/>
          <w:sz w:val="20"/>
          <w:szCs w:val="20"/>
        </w:rPr>
        <w:t>. Government of Kerala.</w:t>
      </w:r>
    </w:p>
    <w:p w14:paraId="7B3FDA05" w14:textId="77777777" w:rsidR="003934E1" w:rsidRDefault="00000000">
      <w:pPr>
        <w:spacing w:before="280" w:after="280" w:line="360" w:lineRule="auto"/>
        <w:jc w:val="both"/>
        <w:rPr>
          <w:rFonts w:ascii="Calibri" w:eastAsia="Calibri" w:hAnsi="Calibri" w:cs="Calibri"/>
          <w:sz w:val="20"/>
          <w:szCs w:val="20"/>
        </w:rPr>
      </w:pPr>
      <w:r>
        <w:rPr>
          <w:rFonts w:ascii="Calibri" w:eastAsia="Calibri" w:hAnsi="Calibri" w:cs="Calibri"/>
          <w:sz w:val="20"/>
          <w:szCs w:val="20"/>
        </w:rPr>
        <w:t xml:space="preserve">Krishna, T. M. (2016). </w:t>
      </w:r>
      <w:r>
        <w:rPr>
          <w:rFonts w:ascii="Calibri" w:eastAsia="Calibri" w:hAnsi="Calibri" w:cs="Calibri"/>
          <w:i/>
          <w:sz w:val="20"/>
          <w:szCs w:val="20"/>
        </w:rPr>
        <w:t>Magsaysay Award address on music and social justice</w:t>
      </w:r>
      <w:r>
        <w:rPr>
          <w:rFonts w:ascii="Calibri" w:eastAsia="Calibri" w:hAnsi="Calibri" w:cs="Calibri"/>
          <w:sz w:val="20"/>
          <w:szCs w:val="20"/>
        </w:rPr>
        <w:t>.</w:t>
      </w:r>
    </w:p>
    <w:p w14:paraId="5B9BEC9F" w14:textId="77777777" w:rsidR="003934E1" w:rsidRDefault="00000000">
      <w:pPr>
        <w:spacing w:before="280" w:after="280" w:line="360" w:lineRule="auto"/>
        <w:jc w:val="both"/>
        <w:rPr>
          <w:rFonts w:ascii="Calibri" w:eastAsia="Calibri" w:hAnsi="Calibri" w:cs="Calibri"/>
          <w:sz w:val="20"/>
          <w:szCs w:val="20"/>
        </w:rPr>
      </w:pPr>
      <w:r>
        <w:rPr>
          <w:rFonts w:ascii="Calibri" w:eastAsia="Calibri" w:hAnsi="Calibri" w:cs="Calibri"/>
          <w:sz w:val="20"/>
          <w:szCs w:val="20"/>
        </w:rPr>
        <w:t xml:space="preserve">McLuhan, M. (1964). </w:t>
      </w:r>
      <w:r>
        <w:rPr>
          <w:rFonts w:ascii="Calibri" w:eastAsia="Calibri" w:hAnsi="Calibri" w:cs="Calibri"/>
          <w:i/>
          <w:sz w:val="20"/>
          <w:szCs w:val="20"/>
        </w:rPr>
        <w:t>Understanding media: The extensions of man</w:t>
      </w:r>
      <w:r>
        <w:rPr>
          <w:rFonts w:ascii="Calibri" w:eastAsia="Calibri" w:hAnsi="Calibri" w:cs="Calibri"/>
          <w:sz w:val="20"/>
          <w:szCs w:val="20"/>
        </w:rPr>
        <w:t>. McGraw-Hill.</w:t>
      </w:r>
    </w:p>
    <w:p w14:paraId="07D184E1" w14:textId="77777777" w:rsidR="003934E1" w:rsidRDefault="00000000">
      <w:pPr>
        <w:spacing w:before="280" w:after="280" w:line="360" w:lineRule="auto"/>
        <w:jc w:val="both"/>
        <w:rPr>
          <w:rFonts w:ascii="Calibri" w:eastAsia="Calibri" w:hAnsi="Calibri" w:cs="Calibri"/>
          <w:sz w:val="20"/>
          <w:szCs w:val="20"/>
        </w:rPr>
      </w:pPr>
      <w:r>
        <w:rPr>
          <w:rFonts w:ascii="Calibri" w:eastAsia="Calibri" w:hAnsi="Calibri" w:cs="Calibri"/>
          <w:sz w:val="20"/>
          <w:szCs w:val="20"/>
        </w:rPr>
        <w:t xml:space="preserve">National Film Awards. (2022). </w:t>
      </w:r>
      <w:r>
        <w:rPr>
          <w:rFonts w:ascii="Calibri" w:eastAsia="Calibri" w:hAnsi="Calibri" w:cs="Calibri"/>
          <w:i/>
          <w:sz w:val="20"/>
          <w:szCs w:val="20"/>
        </w:rPr>
        <w:t>68th National Film Awards for Best Female Playback Singer</w:t>
      </w:r>
      <w:r>
        <w:rPr>
          <w:rFonts w:ascii="Calibri" w:eastAsia="Calibri" w:hAnsi="Calibri" w:cs="Calibri"/>
          <w:sz w:val="20"/>
          <w:szCs w:val="20"/>
        </w:rPr>
        <w:t>. Directorate of Film Festivals.</w:t>
      </w:r>
    </w:p>
    <w:p w14:paraId="0BE35B8C" w14:textId="77777777" w:rsidR="003934E1" w:rsidRDefault="00000000">
      <w:pPr>
        <w:spacing w:before="280" w:after="280" w:line="360" w:lineRule="auto"/>
        <w:jc w:val="both"/>
        <w:rPr>
          <w:rFonts w:ascii="Calibri" w:eastAsia="Calibri" w:hAnsi="Calibri" w:cs="Calibri"/>
          <w:sz w:val="20"/>
          <w:szCs w:val="20"/>
        </w:rPr>
      </w:pPr>
      <w:proofErr w:type="spellStart"/>
      <w:r>
        <w:rPr>
          <w:rFonts w:ascii="Calibri" w:eastAsia="Calibri" w:hAnsi="Calibri" w:cs="Calibri"/>
          <w:sz w:val="20"/>
          <w:szCs w:val="20"/>
        </w:rPr>
        <w:t>Sadath</w:t>
      </w:r>
      <w:proofErr w:type="spellEnd"/>
      <w:r>
        <w:rPr>
          <w:rFonts w:ascii="Calibri" w:eastAsia="Calibri" w:hAnsi="Calibri" w:cs="Calibri"/>
          <w:sz w:val="20"/>
          <w:szCs w:val="20"/>
        </w:rPr>
        <w:t xml:space="preserve">, A., Jose, K., </w:t>
      </w:r>
      <w:proofErr w:type="spellStart"/>
      <w:r>
        <w:rPr>
          <w:rFonts w:ascii="Calibri" w:eastAsia="Calibri" w:hAnsi="Calibri" w:cs="Calibri"/>
          <w:sz w:val="20"/>
          <w:szCs w:val="20"/>
        </w:rPr>
        <w:t>Meethal</w:t>
      </w:r>
      <w:proofErr w:type="spellEnd"/>
      <w:r>
        <w:rPr>
          <w:rFonts w:ascii="Calibri" w:eastAsia="Calibri" w:hAnsi="Calibri" w:cs="Calibri"/>
          <w:sz w:val="20"/>
          <w:szCs w:val="20"/>
        </w:rPr>
        <w:t xml:space="preserve">, S., Mathai, J., Venugopal, A., &amp; Xavier, N. (2019). Factors associated with alcohol misuse among indigenous tribal men in Wayanad: A qualitative study. </w:t>
      </w:r>
      <w:r>
        <w:rPr>
          <w:rFonts w:ascii="Calibri" w:eastAsia="Calibri" w:hAnsi="Calibri" w:cs="Calibri"/>
          <w:i/>
          <w:sz w:val="20"/>
          <w:szCs w:val="20"/>
        </w:rPr>
        <w:t>Indian Journal of Psychological Medicine, 41</w:t>
      </w:r>
      <w:r>
        <w:rPr>
          <w:rFonts w:ascii="Calibri" w:eastAsia="Calibri" w:hAnsi="Calibri" w:cs="Calibri"/>
          <w:sz w:val="20"/>
          <w:szCs w:val="20"/>
        </w:rPr>
        <w:t>(6), 516–522.</w:t>
      </w:r>
    </w:p>
    <w:p w14:paraId="2C3BB8FE" w14:textId="77777777" w:rsidR="003934E1" w:rsidRDefault="00000000">
      <w:pPr>
        <w:spacing w:before="280" w:after="280" w:line="360" w:lineRule="auto"/>
        <w:jc w:val="both"/>
        <w:rPr>
          <w:rFonts w:ascii="Calibri" w:eastAsia="Calibri" w:hAnsi="Calibri" w:cs="Calibri"/>
          <w:sz w:val="20"/>
          <w:szCs w:val="20"/>
        </w:rPr>
      </w:pPr>
      <w:r>
        <w:rPr>
          <w:rFonts w:ascii="Calibri" w:eastAsia="Calibri" w:hAnsi="Calibri" w:cs="Calibri"/>
          <w:sz w:val="20"/>
          <w:szCs w:val="20"/>
        </w:rPr>
        <w:t xml:space="preserve">Scheduled Tribes Development Department. (2013). </w:t>
      </w:r>
      <w:r>
        <w:rPr>
          <w:rFonts w:ascii="Calibri" w:eastAsia="Calibri" w:hAnsi="Calibri" w:cs="Calibri"/>
          <w:i/>
          <w:sz w:val="20"/>
          <w:szCs w:val="20"/>
        </w:rPr>
        <w:t>Scheduled Tribes of Kerala: Report on the socio-economic status</w:t>
      </w:r>
      <w:r>
        <w:rPr>
          <w:rFonts w:ascii="Calibri" w:eastAsia="Calibri" w:hAnsi="Calibri" w:cs="Calibri"/>
          <w:sz w:val="20"/>
          <w:szCs w:val="20"/>
        </w:rPr>
        <w:t>. Government of Kerala.</w:t>
      </w:r>
    </w:p>
    <w:p w14:paraId="0A34A56B" w14:textId="77777777" w:rsidR="003934E1" w:rsidRDefault="00000000">
      <w:pPr>
        <w:spacing w:before="280" w:after="280" w:line="360" w:lineRule="auto"/>
        <w:jc w:val="both"/>
        <w:rPr>
          <w:rFonts w:ascii="Calibri" w:eastAsia="Calibri" w:hAnsi="Calibri" w:cs="Calibri"/>
          <w:sz w:val="20"/>
          <w:szCs w:val="20"/>
        </w:rPr>
      </w:pPr>
      <w:r>
        <w:rPr>
          <w:rFonts w:ascii="Calibri" w:eastAsia="Calibri" w:hAnsi="Calibri" w:cs="Calibri"/>
          <w:sz w:val="20"/>
          <w:szCs w:val="20"/>
        </w:rPr>
        <w:t xml:space="preserve">Is public expenditure management sufficient for sustainable fiscal discipline? (2022, December). </w:t>
      </w:r>
      <w:r>
        <w:rPr>
          <w:rFonts w:ascii="Calibri" w:eastAsia="Calibri" w:hAnsi="Calibri" w:cs="Calibri"/>
          <w:i/>
          <w:sz w:val="20"/>
          <w:szCs w:val="20"/>
        </w:rPr>
        <w:t>Economic and Political Weekly</w:t>
      </w:r>
      <w:r>
        <w:rPr>
          <w:rFonts w:ascii="Calibri" w:eastAsia="Calibri" w:hAnsi="Calibri" w:cs="Calibri"/>
          <w:sz w:val="20"/>
          <w:szCs w:val="20"/>
        </w:rPr>
        <w:t>.</w:t>
      </w:r>
    </w:p>
    <w:p w14:paraId="20BAB5BE" w14:textId="77777777" w:rsidR="003934E1" w:rsidRDefault="003934E1">
      <w:pPr>
        <w:spacing w:before="280" w:after="280" w:line="360" w:lineRule="auto"/>
        <w:jc w:val="both"/>
        <w:rPr>
          <w:rFonts w:ascii="Calibri" w:eastAsia="Calibri" w:hAnsi="Calibri" w:cs="Calibri"/>
          <w:sz w:val="20"/>
          <w:szCs w:val="20"/>
        </w:rPr>
      </w:pPr>
    </w:p>
    <w:p w14:paraId="35DAF285" w14:textId="77777777" w:rsidR="003934E1" w:rsidRDefault="003934E1">
      <w:pPr>
        <w:spacing w:before="280" w:after="280" w:line="360" w:lineRule="auto"/>
        <w:jc w:val="both"/>
        <w:rPr>
          <w:rFonts w:ascii="Calibri" w:eastAsia="Calibri" w:hAnsi="Calibri" w:cs="Calibri"/>
          <w:sz w:val="20"/>
          <w:szCs w:val="20"/>
        </w:rPr>
      </w:pPr>
    </w:p>
    <w:p w14:paraId="2B96B082" w14:textId="77777777" w:rsidR="003934E1" w:rsidRDefault="00000000">
      <w:pPr>
        <w:widowControl w:val="0"/>
        <w:spacing w:line="247" w:lineRule="auto"/>
        <w:ind w:left="8" w:right="-6"/>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Language and Resistance: The Role of Mundari in Birsa Munda's  Movement </w:t>
      </w:r>
    </w:p>
    <w:p w14:paraId="4EFE3D0C" w14:textId="77777777" w:rsidR="003934E1" w:rsidRDefault="00000000">
      <w:pPr>
        <w:widowControl w:val="0"/>
        <w:spacing w:before="680"/>
        <w:ind w:left="6"/>
        <w:rPr>
          <w:rFonts w:ascii="Times New Roman" w:eastAsia="Times New Roman" w:hAnsi="Times New Roman" w:cs="Times New Roman"/>
        </w:rPr>
      </w:pPr>
      <w:r>
        <w:rPr>
          <w:rFonts w:ascii="Times New Roman" w:eastAsia="Times New Roman" w:hAnsi="Times New Roman" w:cs="Times New Roman"/>
        </w:rPr>
        <w:t xml:space="preserve">Disclaimer </w:t>
      </w:r>
    </w:p>
    <w:p w14:paraId="0A78DCB0" w14:textId="77777777" w:rsidR="003934E1" w:rsidRDefault="00000000">
      <w:pPr>
        <w:widowControl w:val="0"/>
        <w:spacing w:before="175" w:line="248" w:lineRule="auto"/>
        <w:ind w:left="2" w:right="-2" w:firstLine="6"/>
        <w:jc w:val="both"/>
        <w:rPr>
          <w:rFonts w:ascii="Times New Roman" w:eastAsia="Times New Roman" w:hAnsi="Times New Roman" w:cs="Times New Roman"/>
        </w:rPr>
      </w:pPr>
      <w:r>
        <w:rPr>
          <w:rFonts w:ascii="Times New Roman" w:eastAsia="Times New Roman" w:hAnsi="Times New Roman" w:cs="Times New Roman"/>
        </w:rPr>
        <w:t xml:space="preserve">I hereby declare that the seminar paper titled “Language and Resistance: The Role of Mundari  in Birsa Munda's Movement” is my original work and has not been submitted previously, in  part or in full, for any other course, seminar, or publication. </w:t>
      </w:r>
    </w:p>
    <w:p w14:paraId="59B711EB" w14:textId="77777777" w:rsidR="003934E1" w:rsidRDefault="00000000">
      <w:pPr>
        <w:widowControl w:val="0"/>
        <w:spacing w:before="167" w:line="248" w:lineRule="auto"/>
        <w:ind w:left="9" w:right="-1" w:hanging="5"/>
        <w:jc w:val="both"/>
        <w:rPr>
          <w:rFonts w:ascii="Times New Roman" w:eastAsia="Times New Roman" w:hAnsi="Times New Roman" w:cs="Times New Roman"/>
        </w:rPr>
      </w:pPr>
      <w:r>
        <w:rPr>
          <w:rFonts w:ascii="Times New Roman" w:eastAsia="Times New Roman" w:hAnsi="Times New Roman" w:cs="Times New Roman"/>
        </w:rPr>
        <w:t xml:space="preserve">All sources consulted and cited have been properly acknowledged. I understand that plagiarism  is a serious academic offense and confirm that this work complies with the standards of  academic integrity. </w:t>
      </w:r>
    </w:p>
    <w:p w14:paraId="5F37573C" w14:textId="77777777" w:rsidR="003934E1" w:rsidRDefault="00000000">
      <w:pPr>
        <w:widowControl w:val="0"/>
        <w:spacing w:before="167"/>
        <w:rPr>
          <w:rFonts w:ascii="Times New Roman" w:eastAsia="Times New Roman" w:hAnsi="Times New Roman" w:cs="Times New Roman"/>
          <w:b/>
        </w:rPr>
      </w:pPr>
      <w:r>
        <w:rPr>
          <w:rFonts w:ascii="Times New Roman" w:eastAsia="Times New Roman" w:hAnsi="Times New Roman" w:cs="Times New Roman"/>
          <w:b/>
        </w:rPr>
        <w:t xml:space="preserve">Name: Aditi Tirkey </w:t>
      </w:r>
    </w:p>
    <w:p w14:paraId="691A8418" w14:textId="77777777" w:rsidR="003934E1" w:rsidRDefault="00000000">
      <w:pPr>
        <w:widowControl w:val="0"/>
        <w:spacing w:before="178"/>
        <w:ind w:left="11"/>
        <w:rPr>
          <w:rFonts w:ascii="Times New Roman" w:eastAsia="Times New Roman" w:hAnsi="Times New Roman" w:cs="Times New Roman"/>
        </w:rPr>
      </w:pPr>
      <w:r>
        <w:rPr>
          <w:rFonts w:ascii="Times New Roman" w:eastAsia="Times New Roman" w:hAnsi="Times New Roman" w:cs="Times New Roman"/>
        </w:rPr>
        <w:t xml:space="preserve">Course: M.A. Linguistics </w:t>
      </w:r>
    </w:p>
    <w:p w14:paraId="394A6AC1" w14:textId="77777777" w:rsidR="003934E1" w:rsidRDefault="00000000">
      <w:pPr>
        <w:widowControl w:val="0"/>
        <w:spacing w:before="178"/>
        <w:ind w:left="8"/>
        <w:rPr>
          <w:rFonts w:ascii="Times New Roman" w:eastAsia="Times New Roman" w:hAnsi="Times New Roman" w:cs="Times New Roman"/>
        </w:rPr>
      </w:pPr>
      <w:r>
        <w:rPr>
          <w:rFonts w:ascii="Times New Roman" w:eastAsia="Times New Roman" w:hAnsi="Times New Roman" w:cs="Times New Roman"/>
        </w:rPr>
        <w:t xml:space="preserve">Institution: Department of linguistics, University Of Delhi </w:t>
      </w:r>
    </w:p>
    <w:p w14:paraId="76EE4660" w14:textId="77777777" w:rsidR="003934E1" w:rsidRDefault="00000000">
      <w:pPr>
        <w:widowControl w:val="0"/>
        <w:spacing w:before="178"/>
        <w:ind w:left="6"/>
        <w:rPr>
          <w:rFonts w:ascii="Times New Roman" w:eastAsia="Times New Roman" w:hAnsi="Times New Roman" w:cs="Times New Roman"/>
        </w:rPr>
      </w:pPr>
      <w:r>
        <w:rPr>
          <w:rFonts w:ascii="Times New Roman" w:eastAsia="Times New Roman" w:hAnsi="Times New Roman" w:cs="Times New Roman"/>
        </w:rPr>
        <w:t xml:space="preserve">Date: 15/06/2025 </w:t>
      </w:r>
    </w:p>
    <w:p w14:paraId="2E0ED008" w14:textId="77777777" w:rsidR="003934E1" w:rsidRDefault="00000000">
      <w:pPr>
        <w:widowControl w:val="0"/>
        <w:spacing w:before="634"/>
        <w:ind w:left="4"/>
        <w:rPr>
          <w:rFonts w:ascii="Times New Roman" w:eastAsia="Times New Roman" w:hAnsi="Times New Roman" w:cs="Times New Roman"/>
          <w:b/>
        </w:rPr>
      </w:pPr>
      <w:r>
        <w:rPr>
          <w:rFonts w:ascii="Times New Roman" w:eastAsia="Times New Roman" w:hAnsi="Times New Roman" w:cs="Times New Roman"/>
          <w:b/>
        </w:rPr>
        <w:t xml:space="preserve">Abstract </w:t>
      </w:r>
    </w:p>
    <w:p w14:paraId="094F7FD4" w14:textId="77777777" w:rsidR="003934E1" w:rsidRDefault="00000000">
      <w:pPr>
        <w:widowControl w:val="0"/>
        <w:spacing w:before="178" w:line="248" w:lineRule="auto"/>
        <w:ind w:left="4" w:right="-3" w:firstLine="3"/>
        <w:jc w:val="both"/>
        <w:rPr>
          <w:rFonts w:ascii="Times New Roman" w:eastAsia="Times New Roman" w:hAnsi="Times New Roman" w:cs="Times New Roman"/>
        </w:rPr>
      </w:pPr>
      <w:r>
        <w:rPr>
          <w:rFonts w:ascii="Times New Roman" w:eastAsia="Times New Roman" w:hAnsi="Times New Roman" w:cs="Times New Roman"/>
        </w:rPr>
        <w:t xml:space="preserve">Language has historically served as a medium of resistance in indigenous struggles against  colonialism. Birsa Munda's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(1899–1900) was a significant tribal uprising in India  against British rule, aimed at reclaiming indigenous identity. While Munda is recognized for  his leadership, his use of the Mundari language for political mobilization and cultural assertion  is often overlooked. This paper examines how the Mundari language shaped resistance  narratives, fostered tribal consciousness, and countered British linguistic imperialism through  documented songs, war cries, and oral traditions. By </w:t>
      </w:r>
      <w:proofErr w:type="spellStart"/>
      <w:r>
        <w:rPr>
          <w:rFonts w:ascii="Times New Roman" w:eastAsia="Times New Roman" w:hAnsi="Times New Roman" w:cs="Times New Roman"/>
        </w:rPr>
        <w:t>analyzing</w:t>
      </w:r>
      <w:proofErr w:type="spellEnd"/>
      <w:r>
        <w:rPr>
          <w:rFonts w:ascii="Times New Roman" w:eastAsia="Times New Roman" w:hAnsi="Times New Roman" w:cs="Times New Roman"/>
        </w:rPr>
        <w:t xml:space="preserve"> how Mundari idioms convey  themes of defiance and resilience, this study positions language as a crucial form of resistance  and highlights the contemporary importance of revitalizing Mundari for decolonizing tribal  studies. </w:t>
      </w:r>
    </w:p>
    <w:p w14:paraId="49E78EFA" w14:textId="77777777" w:rsidR="003934E1" w:rsidRDefault="00000000">
      <w:pPr>
        <w:widowControl w:val="0"/>
        <w:spacing w:before="170" w:line="247" w:lineRule="auto"/>
        <w:ind w:left="10" w:right="1" w:hanging="2"/>
        <w:rPr>
          <w:rFonts w:ascii="Times New Roman" w:eastAsia="Times New Roman" w:hAnsi="Times New Roman" w:cs="Times New Roman"/>
        </w:rPr>
      </w:pPr>
      <w:r>
        <w:rPr>
          <w:rFonts w:ascii="Times New Roman" w:eastAsia="Times New Roman" w:hAnsi="Times New Roman" w:cs="Times New Roman"/>
          <w:b/>
        </w:rPr>
        <w:t xml:space="preserve">Keywords: </w:t>
      </w:r>
      <w:r>
        <w:rPr>
          <w:rFonts w:ascii="Times New Roman" w:eastAsia="Times New Roman" w:hAnsi="Times New Roman" w:cs="Times New Roman"/>
        </w:rPr>
        <w:t xml:space="preserve">Birsa Munda, Mundari language,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indigenous resistance, linguistic  decolonization, tribal consciousness </w:t>
      </w:r>
    </w:p>
    <w:p w14:paraId="5364F80B" w14:textId="77777777" w:rsidR="003934E1" w:rsidRDefault="00000000">
      <w:pPr>
        <w:widowControl w:val="0"/>
        <w:spacing w:before="168"/>
        <w:ind w:left="18"/>
        <w:rPr>
          <w:rFonts w:ascii="Times New Roman" w:eastAsia="Times New Roman" w:hAnsi="Times New Roman" w:cs="Times New Roman"/>
          <w:b/>
        </w:rPr>
      </w:pPr>
      <w:r>
        <w:rPr>
          <w:rFonts w:ascii="Times New Roman" w:eastAsia="Times New Roman" w:hAnsi="Times New Roman" w:cs="Times New Roman"/>
          <w:b/>
        </w:rPr>
        <w:t xml:space="preserve">1. Introduction </w:t>
      </w:r>
    </w:p>
    <w:p w14:paraId="638C9510" w14:textId="77777777" w:rsidR="003934E1" w:rsidRDefault="00000000">
      <w:pPr>
        <w:widowControl w:val="0"/>
        <w:spacing w:before="178" w:line="248" w:lineRule="auto"/>
        <w:ind w:left="4" w:right="-4" w:firstLine="5"/>
        <w:jc w:val="both"/>
        <w:rPr>
          <w:rFonts w:ascii="Times New Roman" w:eastAsia="Times New Roman" w:hAnsi="Times New Roman" w:cs="Times New Roman"/>
        </w:rPr>
      </w:pPr>
      <w:r>
        <w:rPr>
          <w:rFonts w:ascii="Times New Roman" w:eastAsia="Times New Roman" w:hAnsi="Times New Roman" w:cs="Times New Roman"/>
        </w:rPr>
        <w:t>The year 1899 was a significant turning point in India's tribal history, as Birsa Munda, a 24- year-</w:t>
      </w:r>
      <w:proofErr w:type="spellStart"/>
      <w:r>
        <w:rPr>
          <w:rFonts w:ascii="Times New Roman" w:eastAsia="Times New Roman" w:hAnsi="Times New Roman" w:cs="Times New Roman"/>
        </w:rPr>
        <w:t>oldregion</w:t>
      </w:r>
      <w:proofErr w:type="spellEnd"/>
      <w:r>
        <w:rPr>
          <w:rFonts w:ascii="Times New Roman" w:eastAsia="Times New Roman" w:hAnsi="Times New Roman" w:cs="Times New Roman"/>
        </w:rPr>
        <w:t xml:space="preserve">. While historians have delved deeply into the political and socio-economic  aspects of this movement, the linguistic dimensions of resistance have largely gone unexplored.  This paper argues that the Mundari language was not just a means of communication; it also  served as a powerful tool for cultural expression, political mobilization, and anti-colonial  resistance. </w:t>
      </w:r>
    </w:p>
    <w:p w14:paraId="233F6333" w14:textId="77777777" w:rsidR="003934E1" w:rsidRDefault="00000000">
      <w:pPr>
        <w:widowControl w:val="0"/>
        <w:spacing w:before="167" w:line="248" w:lineRule="auto"/>
        <w:ind w:left="6" w:right="-4" w:firstLine="3"/>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role of language in anti-colonial movements goes beyond simple communication; it  encapsulates cultural identity, historical awareness, and collective memory. In the context of  Birsa Munda's movement, the Mundari language served as a repository of indigenous </w:t>
      </w:r>
    </w:p>
    <w:p w14:paraId="51CD73F1" w14:textId="77777777" w:rsidR="003934E1" w:rsidRDefault="00000000">
      <w:pPr>
        <w:widowControl w:val="0"/>
        <w:spacing w:line="248" w:lineRule="auto"/>
        <w:ind w:left="11" w:right="1" w:hanging="6"/>
        <w:jc w:val="both"/>
        <w:rPr>
          <w:rFonts w:ascii="Times New Roman" w:eastAsia="Times New Roman" w:hAnsi="Times New Roman" w:cs="Times New Roman"/>
        </w:rPr>
      </w:pPr>
      <w:r>
        <w:rPr>
          <w:rFonts w:ascii="Times New Roman" w:eastAsia="Times New Roman" w:hAnsi="Times New Roman" w:cs="Times New Roman"/>
        </w:rPr>
        <w:t xml:space="preserve">knowledge, a medium for political discussions, and a symbol of tribal sovereignty. This study  explores how the strategic use of Mundari challenged British linguistic dominance and  encouraged a unique form of resistance that was both political and cultural. </w:t>
      </w:r>
    </w:p>
    <w:p w14:paraId="51E5CB47" w14:textId="77777777" w:rsidR="003934E1" w:rsidRDefault="00000000">
      <w:pPr>
        <w:widowControl w:val="0"/>
        <w:spacing w:before="170" w:line="248" w:lineRule="auto"/>
        <w:ind w:left="4" w:right="-3" w:firstLine="5"/>
        <w:jc w:val="both"/>
        <w:rPr>
          <w:rFonts w:ascii="Times New Roman" w:eastAsia="Times New Roman" w:hAnsi="Times New Roman" w:cs="Times New Roman"/>
        </w:rPr>
      </w:pPr>
      <w:r>
        <w:rPr>
          <w:rFonts w:ascii="Times New Roman" w:eastAsia="Times New Roman" w:hAnsi="Times New Roman" w:cs="Times New Roman"/>
        </w:rPr>
        <w:t xml:space="preserve">The research questions guiding this investigation are as follows: How did Birsa Munda use the  Mundari language for political and social mobilization during the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movement? What  role did linguistic elements, such as folk songs, war cries, and oral narratives, play in conveying  messages of resistance? How did British colonial policies attempt to suppress the Mundari  language, and what impact did this have on the continuity of Munda culture? Finally, how does  the contemporary revitalization of the Mundari language contribute to decolonizing tribal  studies and preserving indigenous identity? </w:t>
      </w:r>
    </w:p>
    <w:p w14:paraId="77B43DC1" w14:textId="77777777" w:rsidR="003934E1" w:rsidRDefault="00000000">
      <w:pPr>
        <w:widowControl w:val="0"/>
        <w:spacing w:before="167"/>
        <w:ind w:left="8"/>
        <w:rPr>
          <w:rFonts w:ascii="Times New Roman" w:eastAsia="Times New Roman" w:hAnsi="Times New Roman" w:cs="Times New Roman"/>
          <w:b/>
        </w:rPr>
      </w:pPr>
      <w:r>
        <w:rPr>
          <w:rFonts w:ascii="Times New Roman" w:eastAsia="Times New Roman" w:hAnsi="Times New Roman" w:cs="Times New Roman"/>
          <w:b/>
        </w:rPr>
        <w:t xml:space="preserve">2. Historical Context: The </w:t>
      </w:r>
      <w:proofErr w:type="spellStart"/>
      <w:r>
        <w:rPr>
          <w:rFonts w:ascii="Times New Roman" w:eastAsia="Times New Roman" w:hAnsi="Times New Roman" w:cs="Times New Roman"/>
          <w:b/>
        </w:rPr>
        <w:t>Ulgulan</w:t>
      </w:r>
      <w:proofErr w:type="spellEnd"/>
      <w:r>
        <w:rPr>
          <w:rFonts w:ascii="Times New Roman" w:eastAsia="Times New Roman" w:hAnsi="Times New Roman" w:cs="Times New Roman"/>
          <w:b/>
        </w:rPr>
        <w:t xml:space="preserve"> and Its Linguistic Dimensions </w:t>
      </w:r>
    </w:p>
    <w:p w14:paraId="58B20295" w14:textId="77777777" w:rsidR="003934E1" w:rsidRDefault="00000000">
      <w:pPr>
        <w:widowControl w:val="0"/>
        <w:spacing w:before="178"/>
        <w:ind w:left="8"/>
        <w:rPr>
          <w:rFonts w:ascii="Times New Roman" w:eastAsia="Times New Roman" w:hAnsi="Times New Roman" w:cs="Times New Roman"/>
          <w:b/>
        </w:rPr>
      </w:pPr>
      <w:r>
        <w:rPr>
          <w:rFonts w:ascii="Times New Roman" w:eastAsia="Times New Roman" w:hAnsi="Times New Roman" w:cs="Times New Roman"/>
          <w:b/>
        </w:rPr>
        <w:t xml:space="preserve">2.1 The Socio-Political Landscape </w:t>
      </w:r>
    </w:p>
    <w:p w14:paraId="4019F681" w14:textId="77777777" w:rsidR="003934E1" w:rsidRDefault="00000000">
      <w:pPr>
        <w:widowControl w:val="0"/>
        <w:spacing w:before="178" w:line="247" w:lineRule="auto"/>
        <w:ind w:left="3" w:right="-2" w:firstLine="6"/>
        <w:jc w:val="both"/>
        <w:rPr>
          <w:rFonts w:ascii="Times New Roman" w:eastAsia="Times New Roman" w:hAnsi="Times New Roman" w:cs="Times New Roman"/>
        </w:rPr>
      </w:pPr>
      <w:r>
        <w:rPr>
          <w:rFonts w:ascii="Times New Roman" w:eastAsia="Times New Roman" w:hAnsi="Times New Roman" w:cs="Times New Roman"/>
        </w:rPr>
        <w:t xml:space="preserve">The late 19th century saw significant colonial interference in tribal life, primarily due to the  introduction of the Permanent Settlement, the activities of Christian missionaries, and the  imposition of English as the administrative language.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who had preserved their  unique linguistic and cultural identity for centuries, found themselves marginalized in their  own homeland. The colonial administration's policy of linguistic assimilation threatened the  very foundation of Munda social organization, which was deeply connected to their oral  traditions and indigenous knowledge systems. </w:t>
      </w:r>
    </w:p>
    <w:p w14:paraId="3F128DAD" w14:textId="77777777" w:rsidR="003934E1" w:rsidRDefault="00000000">
      <w:pPr>
        <w:widowControl w:val="0"/>
        <w:spacing w:before="170" w:line="248" w:lineRule="auto"/>
        <w:ind w:left="2" w:right="-3" w:firstLine="4"/>
        <w:jc w:val="both"/>
        <w:rPr>
          <w:rFonts w:ascii="Times New Roman" w:eastAsia="Times New Roman" w:hAnsi="Times New Roman" w:cs="Times New Roman"/>
        </w:rPr>
      </w:pPr>
      <w:r>
        <w:rPr>
          <w:rFonts w:ascii="Times New Roman" w:eastAsia="Times New Roman" w:hAnsi="Times New Roman" w:cs="Times New Roman"/>
        </w:rPr>
        <w:t xml:space="preserve">Birsa Munda emerged as a significant leader who understood that cultural resistance was as  important as political rebellion. His movement was distinct in its focus on cultural revival, with  language serving as a central tool for mobilizing tribal awareness. The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was not just an  armed revolt; it was a comprehensive effort to reclaim indigenous identity, with Mundari  becoming the vehicle for this cultural renaissance. </w:t>
      </w:r>
    </w:p>
    <w:p w14:paraId="45D20562" w14:textId="77777777" w:rsidR="003934E1" w:rsidRDefault="00000000">
      <w:pPr>
        <w:widowControl w:val="0"/>
        <w:spacing w:before="167"/>
        <w:ind w:left="8"/>
        <w:rPr>
          <w:rFonts w:ascii="Times New Roman" w:eastAsia="Times New Roman" w:hAnsi="Times New Roman" w:cs="Times New Roman"/>
          <w:b/>
        </w:rPr>
      </w:pPr>
      <w:r>
        <w:rPr>
          <w:rFonts w:ascii="Times New Roman" w:eastAsia="Times New Roman" w:hAnsi="Times New Roman" w:cs="Times New Roman"/>
          <w:b/>
        </w:rPr>
        <w:t xml:space="preserve">2.2 The Role of Oral Traditions </w:t>
      </w:r>
    </w:p>
    <w:p w14:paraId="25254AC8" w14:textId="77777777" w:rsidR="003934E1" w:rsidRDefault="00000000">
      <w:pPr>
        <w:widowControl w:val="0"/>
        <w:spacing w:before="178" w:line="247" w:lineRule="auto"/>
        <w:ind w:left="4" w:right="-3" w:firstLine="5"/>
        <w:jc w:val="both"/>
        <w:rPr>
          <w:rFonts w:ascii="Times New Roman" w:eastAsia="Times New Roman" w:hAnsi="Times New Roman" w:cs="Times New Roman"/>
        </w:rPr>
      </w:pPr>
      <w:r>
        <w:rPr>
          <w:rFonts w:ascii="Times New Roman" w:eastAsia="Times New Roman" w:hAnsi="Times New Roman" w:cs="Times New Roman"/>
        </w:rPr>
        <w:t xml:space="preserve">The Munda society, like many indigenous communities, primarily relied on oral traditions for  knowledge transmission due to the absence of a written script. This made oral traditions the  main repository for historical memory, cultural values, and collective identity. Birsa recognized  this fundamental aspect of Munda culture and strategically used traditional forms of oral  communication to convey his message of resistance. </w:t>
      </w:r>
    </w:p>
    <w:p w14:paraId="22B2ADC1" w14:textId="77777777" w:rsidR="003934E1" w:rsidRDefault="00000000">
      <w:pPr>
        <w:widowControl w:val="0"/>
        <w:spacing w:before="170" w:line="248" w:lineRule="auto"/>
        <w:ind w:left="2" w:right="-3" w:firstLine="7"/>
        <w:jc w:val="both"/>
        <w:rPr>
          <w:rFonts w:ascii="Times New Roman" w:eastAsia="Times New Roman" w:hAnsi="Times New Roman" w:cs="Times New Roman"/>
        </w:rPr>
      </w:pPr>
      <w:r>
        <w:rPr>
          <w:rFonts w:ascii="Times New Roman" w:eastAsia="Times New Roman" w:hAnsi="Times New Roman" w:cs="Times New Roman"/>
        </w:rPr>
        <w:t xml:space="preserve">The documented songs and narratives from the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period reveal a sophisticated political  discourse within traditional Mundari forms. These oral texts served multiple purposes: they  preserved the historical memory of pre-colonial autonomy, articulated grievances against  colonial rule, and envisioned a future of tribal self-determination. </w:t>
      </w:r>
    </w:p>
    <w:p w14:paraId="3BC08973" w14:textId="77777777" w:rsidR="003934E1" w:rsidRDefault="00000000">
      <w:pPr>
        <w:widowControl w:val="0"/>
        <w:spacing w:before="170"/>
        <w:ind w:left="6"/>
        <w:rPr>
          <w:rFonts w:ascii="Times New Roman" w:eastAsia="Times New Roman" w:hAnsi="Times New Roman" w:cs="Times New Roman"/>
          <w:b/>
        </w:rPr>
      </w:pPr>
      <w:r>
        <w:rPr>
          <w:rFonts w:ascii="Times New Roman" w:eastAsia="Times New Roman" w:hAnsi="Times New Roman" w:cs="Times New Roman"/>
          <w:b/>
        </w:rPr>
        <w:t xml:space="preserve">3. Methodology </w:t>
      </w:r>
    </w:p>
    <w:p w14:paraId="6465CD6D" w14:textId="77777777" w:rsidR="003934E1" w:rsidRDefault="00000000">
      <w:pPr>
        <w:widowControl w:val="0"/>
        <w:spacing w:before="178" w:line="247" w:lineRule="auto"/>
        <w:ind w:left="11"/>
        <w:jc w:val="both"/>
        <w:rPr>
          <w:rFonts w:ascii="Times New Roman" w:eastAsia="Times New Roman" w:hAnsi="Times New Roman" w:cs="Times New Roman"/>
        </w:rPr>
      </w:pPr>
      <w:r>
        <w:rPr>
          <w:rFonts w:ascii="Times New Roman" w:eastAsia="Times New Roman" w:hAnsi="Times New Roman" w:cs="Times New Roman"/>
        </w:rPr>
        <w:t xml:space="preserve">This study employs a multidisciplinary approach that combines historical analysis, linguistic  anthropology, and ethnographic research. The methodology includes the following  components: </w:t>
      </w:r>
    </w:p>
    <w:p w14:paraId="3086C7D5" w14:textId="77777777" w:rsidR="003934E1" w:rsidRDefault="00000000">
      <w:pPr>
        <w:widowControl w:val="0"/>
        <w:spacing w:before="170" w:line="247" w:lineRule="auto"/>
        <w:ind w:left="6" w:right="1" w:firstLine="23"/>
        <w:jc w:val="both"/>
        <w:rPr>
          <w:rFonts w:ascii="Times New Roman" w:eastAsia="Times New Roman" w:hAnsi="Times New Roman" w:cs="Times New Roman"/>
        </w:rPr>
      </w:pPr>
      <w:r>
        <w:rPr>
          <w:rFonts w:ascii="Times New Roman" w:eastAsia="Times New Roman" w:hAnsi="Times New Roman" w:cs="Times New Roman"/>
        </w:rPr>
        <w:t xml:space="preserve">1. Historical Analysis: This involves examining colonial records, missionary accounts, and  </w:t>
      </w:r>
      <w:r>
        <w:rPr>
          <w:rFonts w:ascii="Times New Roman" w:eastAsia="Times New Roman" w:hAnsi="Times New Roman" w:cs="Times New Roman"/>
        </w:rPr>
        <w:lastRenderedPageBreak/>
        <w:t>early ethnographic studies to understand the colonial context and the policies that affected the  Mundari people.</w:t>
      </w:r>
    </w:p>
    <w:p w14:paraId="3DAD0C2C" w14:textId="77777777" w:rsidR="003934E1" w:rsidRDefault="00000000">
      <w:pPr>
        <w:widowControl w:val="0"/>
        <w:spacing w:line="248" w:lineRule="auto"/>
        <w:ind w:left="11" w:hanging="3"/>
        <w:jc w:val="both"/>
        <w:rPr>
          <w:rFonts w:ascii="Times New Roman" w:eastAsia="Times New Roman" w:hAnsi="Times New Roman" w:cs="Times New Roman"/>
        </w:rPr>
      </w:pPr>
      <w:r>
        <w:rPr>
          <w:rFonts w:ascii="Times New Roman" w:eastAsia="Times New Roman" w:hAnsi="Times New Roman" w:cs="Times New Roman"/>
        </w:rPr>
        <w:t xml:space="preserve">2. Linguistic Analysis: This aspect focuses on studying documented Mundari songs, slogans,  and oral narratives from the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period, </w:t>
      </w:r>
      <w:proofErr w:type="spellStart"/>
      <w:r>
        <w:rPr>
          <w:rFonts w:ascii="Times New Roman" w:eastAsia="Times New Roman" w:hAnsi="Times New Roman" w:cs="Times New Roman"/>
        </w:rPr>
        <w:t>analyzing</w:t>
      </w:r>
      <w:proofErr w:type="spellEnd"/>
      <w:r>
        <w:rPr>
          <w:rFonts w:ascii="Times New Roman" w:eastAsia="Times New Roman" w:hAnsi="Times New Roman" w:cs="Times New Roman"/>
        </w:rPr>
        <w:t xml:space="preserve"> their semantic content, metaphorical  structures, and political implications. </w:t>
      </w:r>
    </w:p>
    <w:p w14:paraId="32B8CD00" w14:textId="77777777" w:rsidR="003934E1" w:rsidRDefault="00000000">
      <w:pPr>
        <w:widowControl w:val="0"/>
        <w:spacing w:before="170" w:line="247" w:lineRule="auto"/>
        <w:ind w:left="4" w:firstLine="8"/>
        <w:rPr>
          <w:rFonts w:ascii="Times New Roman" w:eastAsia="Times New Roman" w:hAnsi="Times New Roman" w:cs="Times New Roman"/>
        </w:rPr>
      </w:pPr>
      <w:r>
        <w:rPr>
          <w:rFonts w:ascii="Times New Roman" w:eastAsia="Times New Roman" w:hAnsi="Times New Roman" w:cs="Times New Roman"/>
        </w:rPr>
        <w:t xml:space="preserve">3. Ethnographic Research: This includes </w:t>
      </w:r>
      <w:proofErr w:type="spellStart"/>
      <w:r>
        <w:rPr>
          <w:rFonts w:ascii="Times New Roman" w:eastAsia="Times New Roman" w:hAnsi="Times New Roman" w:cs="Times New Roman"/>
        </w:rPr>
        <w:t>analyzing</w:t>
      </w:r>
      <w:proofErr w:type="spellEnd"/>
      <w:r>
        <w:rPr>
          <w:rFonts w:ascii="Times New Roman" w:eastAsia="Times New Roman" w:hAnsi="Times New Roman" w:cs="Times New Roman"/>
        </w:rPr>
        <w:t xml:space="preserve"> contemporary efforts at Mundari  revitalization and their connection to decolonization movements. </w:t>
      </w:r>
    </w:p>
    <w:p w14:paraId="769D4ABE" w14:textId="77777777" w:rsidR="003934E1" w:rsidRDefault="00000000">
      <w:pPr>
        <w:widowControl w:val="0"/>
        <w:spacing w:before="170" w:line="247" w:lineRule="auto"/>
        <w:ind w:left="2" w:firstLine="4"/>
        <w:jc w:val="both"/>
        <w:rPr>
          <w:rFonts w:ascii="Times New Roman" w:eastAsia="Times New Roman" w:hAnsi="Times New Roman" w:cs="Times New Roman"/>
        </w:rPr>
      </w:pPr>
      <w:r>
        <w:rPr>
          <w:rFonts w:ascii="Times New Roman" w:eastAsia="Times New Roman" w:hAnsi="Times New Roman" w:cs="Times New Roman"/>
        </w:rPr>
        <w:t xml:space="preserve">4. Comparative Framework: This framework involves comparing the Mundari experience with  other indigenous language-based resistance movements to contextualize their struggle within  broader patterns of linguistic resistance. </w:t>
      </w:r>
    </w:p>
    <w:p w14:paraId="0B4961BF" w14:textId="77777777" w:rsidR="003934E1" w:rsidRDefault="00000000">
      <w:pPr>
        <w:widowControl w:val="0"/>
        <w:spacing w:before="170"/>
        <w:ind w:left="8"/>
        <w:rPr>
          <w:rFonts w:ascii="Times New Roman" w:eastAsia="Times New Roman" w:hAnsi="Times New Roman" w:cs="Times New Roman"/>
          <w:b/>
        </w:rPr>
      </w:pPr>
      <w:r>
        <w:rPr>
          <w:rFonts w:ascii="Times New Roman" w:eastAsia="Times New Roman" w:hAnsi="Times New Roman" w:cs="Times New Roman"/>
          <w:b/>
        </w:rPr>
        <w:t xml:space="preserve">4. Language as Resistance: The Mundari Strategy </w:t>
      </w:r>
    </w:p>
    <w:p w14:paraId="1937A67E" w14:textId="77777777" w:rsidR="003934E1" w:rsidRDefault="00000000">
      <w:pPr>
        <w:widowControl w:val="0"/>
        <w:spacing w:before="178"/>
        <w:ind w:left="8"/>
        <w:rPr>
          <w:rFonts w:ascii="Times New Roman" w:eastAsia="Times New Roman" w:hAnsi="Times New Roman" w:cs="Times New Roman"/>
          <w:b/>
        </w:rPr>
      </w:pPr>
      <w:r>
        <w:rPr>
          <w:rFonts w:ascii="Times New Roman" w:eastAsia="Times New Roman" w:hAnsi="Times New Roman" w:cs="Times New Roman"/>
          <w:b/>
        </w:rPr>
        <w:t xml:space="preserve">4.1 Mobilization Through Song and Narrative </w:t>
      </w:r>
    </w:p>
    <w:p w14:paraId="06FAFBE8" w14:textId="77777777" w:rsidR="003934E1" w:rsidRDefault="00000000">
      <w:pPr>
        <w:widowControl w:val="0"/>
        <w:spacing w:before="176" w:line="248" w:lineRule="auto"/>
        <w:ind w:left="4" w:right="-2" w:firstLine="2"/>
        <w:jc w:val="both"/>
        <w:rPr>
          <w:rFonts w:ascii="Times New Roman" w:eastAsia="Times New Roman" w:hAnsi="Times New Roman" w:cs="Times New Roman"/>
        </w:rPr>
      </w:pPr>
      <w:r>
        <w:rPr>
          <w:rFonts w:ascii="Times New Roman" w:eastAsia="Times New Roman" w:hAnsi="Times New Roman" w:cs="Times New Roman"/>
        </w:rPr>
        <w:t>Birsa's linguistic strategy was significantly powerful due to his use of traditional Mundari songs  and narratives as tools for political mobilization. These songs, known as "</w:t>
      </w:r>
      <w:proofErr w:type="spellStart"/>
      <w:r>
        <w:rPr>
          <w:rFonts w:ascii="Times New Roman" w:eastAsia="Times New Roman" w:hAnsi="Times New Roman" w:cs="Times New Roman"/>
        </w:rPr>
        <w:t>ho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geet</w:t>
      </w:r>
      <w:proofErr w:type="spellEnd"/>
      <w:r>
        <w:rPr>
          <w:rFonts w:ascii="Times New Roman" w:eastAsia="Times New Roman" w:hAnsi="Times New Roman" w:cs="Times New Roman"/>
        </w:rPr>
        <w:t xml:space="preserve">" (Munda  songs), were adapted to convey revolutionary messages while preserving their cultural  authenticity. They served not only as entertainment but also as a means of political education,  making complex political ideas accessible to the largely non-literate tribal population. </w:t>
      </w:r>
    </w:p>
    <w:p w14:paraId="659E955F" w14:textId="77777777" w:rsidR="003934E1" w:rsidRDefault="00000000">
      <w:pPr>
        <w:widowControl w:val="0"/>
        <w:spacing w:before="167" w:line="248" w:lineRule="auto"/>
        <w:ind w:left="4" w:right="-3" w:firstLine="5"/>
        <w:jc w:val="both"/>
        <w:rPr>
          <w:rFonts w:ascii="Times New Roman" w:eastAsia="Times New Roman" w:hAnsi="Times New Roman" w:cs="Times New Roman"/>
        </w:rPr>
      </w:pPr>
      <w:r>
        <w:rPr>
          <w:rFonts w:ascii="Times New Roman" w:eastAsia="Times New Roman" w:hAnsi="Times New Roman" w:cs="Times New Roman"/>
        </w:rPr>
        <w:t xml:space="preserve">The structure of these resistance songs followed traditional Mundari patterns, utilizing  repetitive refrains that made them easy to memorize and share. However, the content was  revolutionary, calling for the restoration of Munda </w:t>
      </w:r>
      <w:proofErr w:type="spellStart"/>
      <w:r>
        <w:rPr>
          <w:rFonts w:ascii="Times New Roman" w:eastAsia="Times New Roman" w:hAnsi="Times New Roman" w:cs="Times New Roman"/>
        </w:rPr>
        <w:t>rajya</w:t>
      </w:r>
      <w:proofErr w:type="spellEnd"/>
      <w:r>
        <w:rPr>
          <w:rFonts w:ascii="Times New Roman" w:eastAsia="Times New Roman" w:hAnsi="Times New Roman" w:cs="Times New Roman"/>
        </w:rPr>
        <w:t xml:space="preserve"> (Munda kingdom) and the expulsion  of colonial forces. The songs fostered a shared emotional experience, transcending individual  grievances and promoting a sense of collective identity. </w:t>
      </w:r>
    </w:p>
    <w:p w14:paraId="0FD55028" w14:textId="77777777" w:rsidR="003934E1" w:rsidRDefault="00000000">
      <w:pPr>
        <w:widowControl w:val="0"/>
        <w:spacing w:before="169"/>
        <w:ind w:left="8"/>
        <w:rPr>
          <w:rFonts w:ascii="Times New Roman" w:eastAsia="Times New Roman" w:hAnsi="Times New Roman" w:cs="Times New Roman"/>
          <w:b/>
        </w:rPr>
      </w:pPr>
      <w:r>
        <w:rPr>
          <w:rFonts w:ascii="Times New Roman" w:eastAsia="Times New Roman" w:hAnsi="Times New Roman" w:cs="Times New Roman"/>
          <w:b/>
        </w:rPr>
        <w:t xml:space="preserve">4.2 War Cries and Ritual Language </w:t>
      </w:r>
    </w:p>
    <w:p w14:paraId="0570BE90" w14:textId="77777777" w:rsidR="003934E1" w:rsidRDefault="00000000">
      <w:pPr>
        <w:widowControl w:val="0"/>
        <w:spacing w:before="176" w:line="248" w:lineRule="auto"/>
        <w:ind w:left="10" w:right="-2"/>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was marked by distinctive war cries in Mundari, which served both psychological  and strategic purposes. These cries often included traditional invocations to ancestral spirits  and nature deities, connecting the political struggle to deeper spiritual dimensions of Munda  culture. By using ritual language, political actions were transformed into sacred duties, lending  divine legitimacy to the resistance movement. </w:t>
      </w:r>
    </w:p>
    <w:p w14:paraId="514B5E59" w14:textId="77777777" w:rsidR="003934E1" w:rsidRDefault="00000000">
      <w:pPr>
        <w:widowControl w:val="0"/>
        <w:spacing w:before="167" w:line="248" w:lineRule="auto"/>
        <w:ind w:left="4" w:right="-2"/>
        <w:jc w:val="both"/>
        <w:rPr>
          <w:rFonts w:ascii="Times New Roman" w:eastAsia="Times New Roman" w:hAnsi="Times New Roman" w:cs="Times New Roman"/>
        </w:rPr>
      </w:pPr>
      <w:r>
        <w:rPr>
          <w:rFonts w:ascii="Times New Roman" w:eastAsia="Times New Roman" w:hAnsi="Times New Roman" w:cs="Times New Roman"/>
        </w:rPr>
        <w:t xml:space="preserve">Additionally, the war cries had practical benefits in battle. They provided coordination among  fighters while intimidating colonial forces, who could not understand their meaning. This  linguistic advantage was crucial for the early successes of the movement, as colonial forces  were unprepared for a resistance that operated within an entirely different linguistic framework. </w:t>
      </w:r>
    </w:p>
    <w:p w14:paraId="536F5379" w14:textId="77777777" w:rsidR="003934E1" w:rsidRDefault="00000000">
      <w:pPr>
        <w:widowControl w:val="0"/>
        <w:spacing w:before="169"/>
        <w:ind w:left="8"/>
        <w:rPr>
          <w:rFonts w:ascii="Times New Roman" w:eastAsia="Times New Roman" w:hAnsi="Times New Roman" w:cs="Times New Roman"/>
          <w:b/>
        </w:rPr>
      </w:pPr>
      <w:r>
        <w:rPr>
          <w:rFonts w:ascii="Times New Roman" w:eastAsia="Times New Roman" w:hAnsi="Times New Roman" w:cs="Times New Roman"/>
          <w:b/>
        </w:rPr>
        <w:t xml:space="preserve">4.3 Symbolic and Metaphorical Resistance </w:t>
      </w:r>
    </w:p>
    <w:p w14:paraId="70E22C4F" w14:textId="77777777" w:rsidR="003934E1" w:rsidRDefault="00000000">
      <w:pPr>
        <w:widowControl w:val="0"/>
        <w:spacing w:before="176" w:line="248" w:lineRule="auto"/>
        <w:ind w:left="3" w:right="-2" w:firstLine="6"/>
        <w:jc w:val="both"/>
        <w:rPr>
          <w:rFonts w:ascii="Times New Roman" w:eastAsia="Times New Roman" w:hAnsi="Times New Roman" w:cs="Times New Roman"/>
        </w:rPr>
      </w:pPr>
      <w:r>
        <w:rPr>
          <w:rFonts w:ascii="Times New Roman" w:eastAsia="Times New Roman" w:hAnsi="Times New Roman" w:cs="Times New Roman"/>
        </w:rPr>
        <w:t xml:space="preserve">The discourse of Mundari resistance was rich in metaphorical language that drew on traditional  ecological knowledge and cultural symbols. The colonial administration was often described  using terms associated with predatory animals or natural disasters, while the resistance was  depicted through imagery of seasonal renewal and agricultural fertility. </w:t>
      </w:r>
    </w:p>
    <w:p w14:paraId="2FCACD5C" w14:textId="77777777" w:rsidR="003934E1" w:rsidRDefault="00000000">
      <w:pPr>
        <w:widowControl w:val="0"/>
        <w:spacing w:before="167" w:line="248" w:lineRule="auto"/>
        <w:ind w:left="11" w:right="-4"/>
        <w:jc w:val="both"/>
        <w:rPr>
          <w:rFonts w:ascii="Times New Roman" w:eastAsia="Times New Roman" w:hAnsi="Times New Roman" w:cs="Times New Roman"/>
        </w:rPr>
      </w:pPr>
      <w:r>
        <w:rPr>
          <w:rFonts w:ascii="Times New Roman" w:eastAsia="Times New Roman" w:hAnsi="Times New Roman" w:cs="Times New Roman"/>
        </w:rPr>
        <w:t>This metaphorical framework served multiple purposes: it made political concepts more  accessible through familiar cultural references, connected the struggle to traditional Munda  cosmology, and provided a coded language that conveyed messages of resistance while  avoiding direct confrontation with colonial authorities.</w:t>
      </w:r>
    </w:p>
    <w:p w14:paraId="1235033D" w14:textId="77777777" w:rsidR="003934E1" w:rsidRDefault="00000000">
      <w:pPr>
        <w:widowControl w:val="0"/>
        <w:ind w:left="11"/>
        <w:rPr>
          <w:rFonts w:ascii="Times New Roman" w:eastAsia="Times New Roman" w:hAnsi="Times New Roman" w:cs="Times New Roman"/>
          <w:b/>
        </w:rPr>
      </w:pPr>
      <w:r>
        <w:rPr>
          <w:rFonts w:ascii="Times New Roman" w:eastAsia="Times New Roman" w:hAnsi="Times New Roman" w:cs="Times New Roman"/>
          <w:b/>
        </w:rPr>
        <w:lastRenderedPageBreak/>
        <w:t xml:space="preserve">5. Colonial Suppression of Mundari </w:t>
      </w:r>
    </w:p>
    <w:p w14:paraId="16C9F336" w14:textId="77777777" w:rsidR="003934E1" w:rsidRDefault="00000000">
      <w:pPr>
        <w:widowControl w:val="0"/>
        <w:spacing w:before="178"/>
        <w:ind w:left="11"/>
        <w:rPr>
          <w:rFonts w:ascii="Times New Roman" w:eastAsia="Times New Roman" w:hAnsi="Times New Roman" w:cs="Times New Roman"/>
          <w:b/>
        </w:rPr>
      </w:pPr>
      <w:r>
        <w:rPr>
          <w:rFonts w:ascii="Times New Roman" w:eastAsia="Times New Roman" w:hAnsi="Times New Roman" w:cs="Times New Roman"/>
          <w:b/>
        </w:rPr>
        <w:t xml:space="preserve">5.1 Administrative Policies </w:t>
      </w:r>
    </w:p>
    <w:p w14:paraId="5C840CFF" w14:textId="77777777" w:rsidR="003934E1" w:rsidRDefault="00000000">
      <w:pPr>
        <w:widowControl w:val="0"/>
        <w:spacing w:before="178" w:line="247" w:lineRule="auto"/>
        <w:ind w:left="4" w:right="-4" w:firstLine="5"/>
        <w:jc w:val="both"/>
        <w:rPr>
          <w:rFonts w:ascii="Times New Roman" w:eastAsia="Times New Roman" w:hAnsi="Times New Roman" w:cs="Times New Roman"/>
        </w:rPr>
      </w:pPr>
      <w:r>
        <w:rPr>
          <w:rFonts w:ascii="Times New Roman" w:eastAsia="Times New Roman" w:hAnsi="Times New Roman" w:cs="Times New Roman"/>
        </w:rPr>
        <w:t xml:space="preserve">The British colonial administration recognized the potential threat posed by indigenous  languages and implemented systematic policies to marginalize Mundari. These policies  included enforcing the exclusive use of English and Hindi in administrative contexts,  suppressing traditional educational systems, and promoting Christian missions that aimed to  replace indigenous cultural practices with Western alternatives. </w:t>
      </w:r>
    </w:p>
    <w:p w14:paraId="50F37D2F" w14:textId="77777777" w:rsidR="003934E1" w:rsidRDefault="00000000">
      <w:pPr>
        <w:widowControl w:val="0"/>
        <w:spacing w:before="170" w:line="247" w:lineRule="auto"/>
        <w:ind w:left="5" w:right="-2" w:firstLine="4"/>
        <w:jc w:val="both"/>
        <w:rPr>
          <w:rFonts w:ascii="Times New Roman" w:eastAsia="Times New Roman" w:hAnsi="Times New Roman" w:cs="Times New Roman"/>
        </w:rPr>
      </w:pPr>
      <w:r>
        <w:rPr>
          <w:rFonts w:ascii="Times New Roman" w:eastAsia="Times New Roman" w:hAnsi="Times New Roman" w:cs="Times New Roman"/>
        </w:rPr>
        <w:t xml:space="preserve">The requirement to use English as the sole language in legal proceedings was particularly  damaging for the Munda community, as it effectively excluded them from participating in the  colonial legal system. This linguistic exclusion was not accidental; it was a deliberate strategy  to maintain colonial dominance through cultural hegemony. </w:t>
      </w:r>
    </w:p>
    <w:p w14:paraId="28165927" w14:textId="77777777" w:rsidR="003934E1" w:rsidRDefault="00000000">
      <w:pPr>
        <w:widowControl w:val="0"/>
        <w:spacing w:before="171"/>
        <w:ind w:left="11"/>
        <w:rPr>
          <w:rFonts w:ascii="Times New Roman" w:eastAsia="Times New Roman" w:hAnsi="Times New Roman" w:cs="Times New Roman"/>
          <w:b/>
        </w:rPr>
      </w:pPr>
      <w:r>
        <w:rPr>
          <w:rFonts w:ascii="Times New Roman" w:eastAsia="Times New Roman" w:hAnsi="Times New Roman" w:cs="Times New Roman"/>
          <w:b/>
        </w:rPr>
        <w:t xml:space="preserve">5.2 Educational and Cultural Interventions </w:t>
      </w:r>
    </w:p>
    <w:p w14:paraId="7C670847" w14:textId="77777777" w:rsidR="003934E1" w:rsidRDefault="00000000">
      <w:pPr>
        <w:widowControl w:val="0"/>
        <w:spacing w:before="175" w:line="248" w:lineRule="auto"/>
        <w:ind w:left="2" w:firstLine="4"/>
        <w:jc w:val="both"/>
        <w:rPr>
          <w:rFonts w:ascii="Times New Roman" w:eastAsia="Times New Roman" w:hAnsi="Times New Roman" w:cs="Times New Roman"/>
        </w:rPr>
      </w:pPr>
      <w:r>
        <w:rPr>
          <w:rFonts w:ascii="Times New Roman" w:eastAsia="Times New Roman" w:hAnsi="Times New Roman" w:cs="Times New Roman"/>
        </w:rPr>
        <w:t xml:space="preserve">Missionary schools played a significant role in the colonial strategy of suppressing local  languages. While they claimed to provide education, these institutions actively discouraged the  use of Mundari and promoted English and Hindi as symbols of progress and civilization.  Children were often punished for speaking their native language, leading to a generation that  became disconnected from its cultural heritage. </w:t>
      </w:r>
    </w:p>
    <w:p w14:paraId="17B58734" w14:textId="77777777" w:rsidR="003934E1" w:rsidRDefault="00000000">
      <w:pPr>
        <w:widowControl w:val="0"/>
        <w:spacing w:before="169" w:line="247" w:lineRule="auto"/>
        <w:ind w:left="10" w:right="-3"/>
        <w:jc w:val="both"/>
        <w:rPr>
          <w:rFonts w:ascii="Times New Roman" w:eastAsia="Times New Roman" w:hAnsi="Times New Roman" w:cs="Times New Roman"/>
        </w:rPr>
      </w:pPr>
      <w:r>
        <w:rPr>
          <w:rFonts w:ascii="Times New Roman" w:eastAsia="Times New Roman" w:hAnsi="Times New Roman" w:cs="Times New Roman"/>
        </w:rPr>
        <w:t xml:space="preserve">The colonial education system also introduced Western historical narratives that depicted tribal  societies as primitive and in need of civilizing intervention. This form of educational  colonization may have caused more harm than political domination, as it undermined the very  foundation of tribal self-respect and cultural confidence. </w:t>
      </w:r>
    </w:p>
    <w:p w14:paraId="2A108FA9" w14:textId="77777777" w:rsidR="003934E1" w:rsidRDefault="00000000">
      <w:pPr>
        <w:widowControl w:val="0"/>
        <w:spacing w:before="170"/>
        <w:ind w:left="11"/>
        <w:rPr>
          <w:rFonts w:ascii="Times New Roman" w:eastAsia="Times New Roman" w:hAnsi="Times New Roman" w:cs="Times New Roman"/>
          <w:b/>
        </w:rPr>
      </w:pPr>
      <w:r>
        <w:rPr>
          <w:rFonts w:ascii="Times New Roman" w:eastAsia="Times New Roman" w:hAnsi="Times New Roman" w:cs="Times New Roman"/>
          <w:b/>
        </w:rPr>
        <w:t xml:space="preserve">6. Contemporary Relevance: Decolonizing Through Language </w:t>
      </w:r>
    </w:p>
    <w:p w14:paraId="586421F5" w14:textId="77777777" w:rsidR="003934E1" w:rsidRDefault="00000000">
      <w:pPr>
        <w:widowControl w:val="0"/>
        <w:spacing w:before="175"/>
        <w:ind w:left="11"/>
        <w:rPr>
          <w:rFonts w:ascii="Times New Roman" w:eastAsia="Times New Roman" w:hAnsi="Times New Roman" w:cs="Times New Roman"/>
          <w:b/>
        </w:rPr>
      </w:pPr>
      <w:r>
        <w:rPr>
          <w:rFonts w:ascii="Times New Roman" w:eastAsia="Times New Roman" w:hAnsi="Times New Roman" w:cs="Times New Roman"/>
          <w:b/>
        </w:rPr>
        <w:t xml:space="preserve">6.1 Modern Revitalization Efforts </w:t>
      </w:r>
    </w:p>
    <w:p w14:paraId="14778C7F" w14:textId="77777777" w:rsidR="003934E1" w:rsidRDefault="00000000">
      <w:pPr>
        <w:widowControl w:val="0"/>
        <w:spacing w:before="178" w:line="248" w:lineRule="auto"/>
        <w:ind w:left="5" w:right="-2" w:firstLine="4"/>
        <w:jc w:val="both"/>
        <w:rPr>
          <w:rFonts w:ascii="Times New Roman" w:eastAsia="Times New Roman" w:hAnsi="Times New Roman" w:cs="Times New Roman"/>
        </w:rPr>
      </w:pPr>
      <w:r>
        <w:rPr>
          <w:rFonts w:ascii="Times New Roman" w:eastAsia="Times New Roman" w:hAnsi="Times New Roman" w:cs="Times New Roman"/>
        </w:rPr>
        <w:t xml:space="preserve">The contemporary movement for the revitalization of the Mundari language is a continuation  of Birsa Munda's efforts in linguistic resistance. Modern activists and scholars have recognized  that cultural decolonization cannot be fully realized without reclaiming linguistic heritage.  Efforts to develop Mundari literature, establish mother-tongue education programs, and  document oral traditions directly respond to the effects of colonial linguistic policies. </w:t>
      </w:r>
    </w:p>
    <w:p w14:paraId="4955AB78" w14:textId="77777777" w:rsidR="003934E1" w:rsidRDefault="00000000">
      <w:pPr>
        <w:widowControl w:val="0"/>
        <w:spacing w:before="167" w:line="248" w:lineRule="auto"/>
        <w:ind w:left="6" w:right="-2"/>
        <w:jc w:val="both"/>
        <w:rPr>
          <w:rFonts w:ascii="Times New Roman" w:eastAsia="Times New Roman" w:hAnsi="Times New Roman" w:cs="Times New Roman"/>
        </w:rPr>
      </w:pPr>
      <w:r>
        <w:rPr>
          <w:rFonts w:ascii="Times New Roman" w:eastAsia="Times New Roman" w:hAnsi="Times New Roman" w:cs="Times New Roman"/>
        </w:rPr>
        <w:t xml:space="preserve">However, these revitalization efforts face significant challenges. The dominance of Hindi and  English in education and administration, urbanization that disconnects youth from traditional  cultural contexts, and the lack of economic incentives for maintaining indigenous languages  all pose obstacles. Despite these challenges, the movement has seen notable successes in raising  awareness about the importance of linguistic diversity and cultural rights. </w:t>
      </w:r>
    </w:p>
    <w:p w14:paraId="769FF16F" w14:textId="77777777" w:rsidR="003934E1" w:rsidRDefault="00000000">
      <w:pPr>
        <w:widowControl w:val="0"/>
        <w:spacing w:before="167"/>
        <w:ind w:left="11"/>
        <w:rPr>
          <w:rFonts w:ascii="Times New Roman" w:eastAsia="Times New Roman" w:hAnsi="Times New Roman" w:cs="Times New Roman"/>
          <w:b/>
        </w:rPr>
      </w:pPr>
      <w:r>
        <w:rPr>
          <w:rFonts w:ascii="Times New Roman" w:eastAsia="Times New Roman" w:hAnsi="Times New Roman" w:cs="Times New Roman"/>
          <w:b/>
        </w:rPr>
        <w:t xml:space="preserve">6.2 Academic and Intellectual Decolonization </w:t>
      </w:r>
    </w:p>
    <w:p w14:paraId="70FE1D2B" w14:textId="77777777" w:rsidR="003934E1" w:rsidRDefault="00000000">
      <w:pPr>
        <w:widowControl w:val="0"/>
        <w:spacing w:before="178" w:line="248" w:lineRule="auto"/>
        <w:ind w:left="5" w:right="-3" w:firstLine="4"/>
        <w:jc w:val="both"/>
        <w:rPr>
          <w:rFonts w:ascii="Times New Roman" w:eastAsia="Times New Roman" w:hAnsi="Times New Roman" w:cs="Times New Roman"/>
        </w:rPr>
      </w:pPr>
      <w:r>
        <w:rPr>
          <w:rFonts w:ascii="Times New Roman" w:eastAsia="Times New Roman" w:hAnsi="Times New Roman" w:cs="Times New Roman"/>
        </w:rPr>
        <w:t>The study of Birsa Munda's movement through the lens of linguistic resistance contributes to  the broader goal of decolonizing academic knowledge. By focusing on indigenous perspectives  and methodologies, this approach challenges Western-centric interpretations of tribal history  and emphasizes the complexity of indigenous political thought.</w:t>
      </w:r>
    </w:p>
    <w:p w14:paraId="5FB1DF66" w14:textId="77777777" w:rsidR="003934E1" w:rsidRDefault="00000000">
      <w:pPr>
        <w:widowControl w:val="0"/>
        <w:spacing w:line="248" w:lineRule="auto"/>
        <w:ind w:left="4" w:right="-3" w:firstLine="2"/>
        <w:jc w:val="both"/>
        <w:rPr>
          <w:rFonts w:ascii="Times New Roman" w:eastAsia="Times New Roman" w:hAnsi="Times New Roman" w:cs="Times New Roman"/>
        </w:rPr>
      </w:pPr>
      <w:r>
        <w:rPr>
          <w:rFonts w:ascii="Times New Roman" w:eastAsia="Times New Roman" w:hAnsi="Times New Roman" w:cs="Times New Roman"/>
        </w:rPr>
        <w:t xml:space="preserve">Recognizing Mundari as a language of political discourse and intellectual expression  challenges colonial stereotypes that depict tribal languages as primitive or limited. This  reframing is crucial for developing authentic tribal studies that accurately reflect indigenous  </w:t>
      </w:r>
      <w:r>
        <w:rPr>
          <w:rFonts w:ascii="Times New Roman" w:eastAsia="Times New Roman" w:hAnsi="Times New Roman" w:cs="Times New Roman"/>
        </w:rPr>
        <w:lastRenderedPageBreak/>
        <w:t xml:space="preserve">ways of knowing and being. </w:t>
      </w:r>
    </w:p>
    <w:p w14:paraId="45D431BB" w14:textId="77777777" w:rsidR="003934E1" w:rsidRDefault="00000000">
      <w:pPr>
        <w:widowControl w:val="0"/>
        <w:spacing w:before="170"/>
        <w:ind w:left="11"/>
        <w:rPr>
          <w:rFonts w:ascii="Times New Roman" w:eastAsia="Times New Roman" w:hAnsi="Times New Roman" w:cs="Times New Roman"/>
          <w:b/>
        </w:rPr>
      </w:pPr>
      <w:r>
        <w:rPr>
          <w:rFonts w:ascii="Times New Roman" w:eastAsia="Times New Roman" w:hAnsi="Times New Roman" w:cs="Times New Roman"/>
          <w:b/>
        </w:rPr>
        <w:t xml:space="preserve">7. Comparative Analysis: Indigenous Languages in Anti-Colonial Movements </w:t>
      </w:r>
    </w:p>
    <w:p w14:paraId="7884BF6D" w14:textId="77777777" w:rsidR="003934E1" w:rsidRDefault="00000000">
      <w:pPr>
        <w:widowControl w:val="0"/>
        <w:spacing w:before="178" w:line="247" w:lineRule="auto"/>
        <w:ind w:left="2" w:right="-2" w:firstLine="7"/>
        <w:jc w:val="both"/>
        <w:rPr>
          <w:rFonts w:ascii="Times New Roman" w:eastAsia="Times New Roman" w:hAnsi="Times New Roman" w:cs="Times New Roman"/>
        </w:rPr>
      </w:pPr>
      <w:r>
        <w:rPr>
          <w:rFonts w:ascii="Times New Roman" w:eastAsia="Times New Roman" w:hAnsi="Times New Roman" w:cs="Times New Roman"/>
        </w:rPr>
        <w:t xml:space="preserve">The role of the Mundari language in Birsa Munda's movement can be effectively compared to  other indigenous language-based resistance movements around the world. Similar patterns can  be seen in the use of Gaelic during the Irish independence struggle, the role of Quechua in  Andean resistance movements, and the importance of Aboriginal languages in Australian  sovereignty initiatives. </w:t>
      </w:r>
    </w:p>
    <w:p w14:paraId="17B0B967" w14:textId="77777777" w:rsidR="003934E1" w:rsidRDefault="00000000">
      <w:pPr>
        <w:widowControl w:val="0"/>
        <w:spacing w:before="170" w:line="248" w:lineRule="auto"/>
        <w:ind w:left="4" w:right="-3" w:firstLine="5"/>
        <w:jc w:val="both"/>
        <w:rPr>
          <w:rFonts w:ascii="Times New Roman" w:eastAsia="Times New Roman" w:hAnsi="Times New Roman" w:cs="Times New Roman"/>
        </w:rPr>
      </w:pPr>
      <w:r>
        <w:rPr>
          <w:rFonts w:ascii="Times New Roman" w:eastAsia="Times New Roman" w:hAnsi="Times New Roman" w:cs="Times New Roman"/>
        </w:rPr>
        <w:t xml:space="preserve">These comparisons highlight common strategies: using indigenous languages to create  alternative political discourses, employing traditional cultural forms to convey revolutionary  messages, and recognizing the preservation of language as essential to cultural survival. Such  comparative analysis reinforces the argument that linguistic resistance should be viewed as a  distinct and significant form of anti-colonial struggle. </w:t>
      </w:r>
    </w:p>
    <w:p w14:paraId="71C5612F" w14:textId="77777777" w:rsidR="003934E1" w:rsidRDefault="00000000">
      <w:pPr>
        <w:widowControl w:val="0"/>
        <w:spacing w:before="170"/>
        <w:ind w:left="11"/>
        <w:rPr>
          <w:rFonts w:ascii="Times New Roman" w:eastAsia="Times New Roman" w:hAnsi="Times New Roman" w:cs="Times New Roman"/>
          <w:b/>
        </w:rPr>
      </w:pPr>
      <w:r>
        <w:rPr>
          <w:rFonts w:ascii="Times New Roman" w:eastAsia="Times New Roman" w:hAnsi="Times New Roman" w:cs="Times New Roman"/>
          <w:b/>
        </w:rPr>
        <w:t xml:space="preserve">8. Challenges and Limitations </w:t>
      </w:r>
    </w:p>
    <w:p w14:paraId="3C2E2DD4" w14:textId="77777777" w:rsidR="003934E1" w:rsidRDefault="00000000">
      <w:pPr>
        <w:widowControl w:val="0"/>
        <w:spacing w:before="178" w:line="247" w:lineRule="auto"/>
        <w:ind w:left="2" w:right="-4" w:firstLine="7"/>
        <w:jc w:val="both"/>
        <w:rPr>
          <w:rFonts w:ascii="Times New Roman" w:eastAsia="Times New Roman" w:hAnsi="Times New Roman" w:cs="Times New Roman"/>
        </w:rPr>
      </w:pPr>
      <w:r>
        <w:rPr>
          <w:rFonts w:ascii="Times New Roman" w:eastAsia="Times New Roman" w:hAnsi="Times New Roman" w:cs="Times New Roman"/>
        </w:rPr>
        <w:t xml:space="preserve">This study encounters several methodological challenges. These include the limited  documentation of Mundari oral traditions from the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period, the potential for colonial  bias in existing historical sources, and the difficulty of accessing authentic indigenous  perspectives across both temporal and cultural distances.  </w:t>
      </w:r>
    </w:p>
    <w:p w14:paraId="52A0EB1E" w14:textId="77777777" w:rsidR="003934E1" w:rsidRDefault="00000000">
      <w:pPr>
        <w:widowControl w:val="0"/>
        <w:spacing w:before="170" w:line="248" w:lineRule="auto"/>
        <w:ind w:left="4" w:right="-3" w:firstLine="2"/>
        <w:jc w:val="both"/>
        <w:rPr>
          <w:rFonts w:ascii="Times New Roman" w:eastAsia="Times New Roman" w:hAnsi="Times New Roman" w:cs="Times New Roman"/>
        </w:rPr>
      </w:pPr>
      <w:r>
        <w:rPr>
          <w:rFonts w:ascii="Times New Roman" w:eastAsia="Times New Roman" w:hAnsi="Times New Roman" w:cs="Times New Roman"/>
        </w:rPr>
        <w:t xml:space="preserve">Furthermore, the contemporary politicization of tribal identity and the romanticization of  indigenous cultures may skew interpretations of historical evidence. These limitations  necessitate careful consideration when drawing conclusions about the role of language in  resistance movements. </w:t>
      </w:r>
    </w:p>
    <w:p w14:paraId="0268B438" w14:textId="77777777" w:rsidR="003934E1" w:rsidRDefault="00000000">
      <w:pPr>
        <w:widowControl w:val="0"/>
        <w:spacing w:before="170"/>
        <w:ind w:left="10"/>
        <w:rPr>
          <w:rFonts w:ascii="Times New Roman" w:eastAsia="Times New Roman" w:hAnsi="Times New Roman" w:cs="Times New Roman"/>
          <w:b/>
        </w:rPr>
      </w:pPr>
      <w:r>
        <w:rPr>
          <w:rFonts w:ascii="Times New Roman" w:eastAsia="Times New Roman" w:hAnsi="Times New Roman" w:cs="Times New Roman"/>
          <w:b/>
        </w:rPr>
        <w:t xml:space="preserve">9. Implications for Tribal Studies </w:t>
      </w:r>
    </w:p>
    <w:p w14:paraId="05D6856A" w14:textId="77777777" w:rsidR="003934E1" w:rsidRDefault="00000000">
      <w:pPr>
        <w:widowControl w:val="0"/>
        <w:spacing w:before="178" w:line="247" w:lineRule="auto"/>
        <w:ind w:left="2" w:right="-2" w:firstLine="7"/>
        <w:jc w:val="both"/>
        <w:rPr>
          <w:rFonts w:ascii="Times New Roman" w:eastAsia="Times New Roman" w:hAnsi="Times New Roman" w:cs="Times New Roman"/>
        </w:rPr>
      </w:pPr>
      <w:r>
        <w:rPr>
          <w:rFonts w:ascii="Times New Roman" w:eastAsia="Times New Roman" w:hAnsi="Times New Roman" w:cs="Times New Roman"/>
        </w:rPr>
        <w:t xml:space="preserve">The linguistic aspects of Birsa Munda's movement hold significant implications for modern  tribal studies. First, they underscore the necessity of interdisciplinary approaches that integrate  historical, linguistic, and anthropological methods. Second, they illustrate the importance of  prioritizing indigenous perspectives and methodologies in academic research. Third, they  uncover the sophisticated political thought that is woven into indigenous cultural practices. </w:t>
      </w:r>
    </w:p>
    <w:p w14:paraId="11C8E86A" w14:textId="77777777" w:rsidR="003934E1" w:rsidRDefault="00000000">
      <w:pPr>
        <w:widowControl w:val="0"/>
        <w:spacing w:before="170" w:line="248" w:lineRule="auto"/>
        <w:ind w:left="2" w:right="-2" w:firstLine="7"/>
        <w:jc w:val="both"/>
        <w:rPr>
          <w:rFonts w:ascii="Times New Roman" w:eastAsia="Times New Roman" w:hAnsi="Times New Roman" w:cs="Times New Roman"/>
        </w:rPr>
      </w:pPr>
      <w:r>
        <w:rPr>
          <w:rFonts w:ascii="Times New Roman" w:eastAsia="Times New Roman" w:hAnsi="Times New Roman" w:cs="Times New Roman"/>
        </w:rPr>
        <w:t xml:space="preserve">These insights contribute to the larger effort to decolonize academic knowledge by questioning  Western-centric assumptions about indigenous societies and illuminating the complexities of  tribal political systems. Additionally, the study of linguistic resistance offers a framework for  understanding contemporary indigenous rights movements and their focus on cultural  preservation. </w:t>
      </w:r>
    </w:p>
    <w:p w14:paraId="6388D7C2" w14:textId="77777777" w:rsidR="003934E1" w:rsidRDefault="00000000">
      <w:pPr>
        <w:widowControl w:val="0"/>
        <w:spacing w:before="170"/>
        <w:ind w:left="18"/>
        <w:rPr>
          <w:rFonts w:ascii="Times New Roman" w:eastAsia="Times New Roman" w:hAnsi="Times New Roman" w:cs="Times New Roman"/>
          <w:b/>
        </w:rPr>
      </w:pPr>
      <w:r>
        <w:rPr>
          <w:rFonts w:ascii="Times New Roman" w:eastAsia="Times New Roman" w:hAnsi="Times New Roman" w:cs="Times New Roman"/>
          <w:b/>
        </w:rPr>
        <w:t xml:space="preserve">10. Conclusion </w:t>
      </w:r>
    </w:p>
    <w:p w14:paraId="13CA1AF8" w14:textId="77777777" w:rsidR="003934E1" w:rsidRDefault="00000000">
      <w:pPr>
        <w:widowControl w:val="0"/>
        <w:spacing w:before="178" w:line="247" w:lineRule="auto"/>
        <w:ind w:left="2" w:right="-3" w:firstLine="7"/>
        <w:jc w:val="both"/>
        <w:rPr>
          <w:rFonts w:ascii="Times New Roman" w:eastAsia="Times New Roman" w:hAnsi="Times New Roman" w:cs="Times New Roman"/>
        </w:rPr>
      </w:pPr>
      <w:r>
        <w:rPr>
          <w:rFonts w:ascii="Times New Roman" w:eastAsia="Times New Roman" w:hAnsi="Times New Roman" w:cs="Times New Roman"/>
        </w:rPr>
        <w:t>The role of Mundari in Birsa Munda's resistance movement highlights the deep connection  between language, culture, and political struggle in indigenous communities. This study shows  that Mundari was not just a means of communication; it served as a powerful tool for cultural  assertion, a medium for political mobilization, and a symbol of tribal sovereignty.</w:t>
      </w:r>
    </w:p>
    <w:p w14:paraId="4B79562A" w14:textId="77777777" w:rsidR="003934E1" w:rsidRDefault="00000000">
      <w:pPr>
        <w:widowControl w:val="0"/>
        <w:spacing w:line="248" w:lineRule="auto"/>
        <w:ind w:left="4" w:right="-2" w:firstLine="5"/>
        <w:jc w:val="both"/>
        <w:rPr>
          <w:rFonts w:ascii="Times New Roman" w:eastAsia="Times New Roman" w:hAnsi="Times New Roman" w:cs="Times New Roman"/>
        </w:rPr>
      </w:pPr>
      <w:r>
        <w:rPr>
          <w:rFonts w:ascii="Times New Roman" w:eastAsia="Times New Roman" w:hAnsi="Times New Roman" w:cs="Times New Roman"/>
        </w:rPr>
        <w:t xml:space="preserve">The systematic suppression of Mundari by colonial authorities indicates their recognition of  language as a threat to colonial control. The contemporary movement for the revitalization of  Mundari continues Birsa Munda's resistance, adapting his strategies to modern contexts while  remaining committed to his vision of cultural self-determination. </w:t>
      </w:r>
    </w:p>
    <w:p w14:paraId="08EB5A55" w14:textId="77777777" w:rsidR="003934E1" w:rsidRDefault="00000000">
      <w:pPr>
        <w:widowControl w:val="0"/>
        <w:spacing w:before="170" w:line="247" w:lineRule="auto"/>
        <w:ind w:left="4" w:right="-2" w:firstLine="5"/>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linguistic aspect of the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enhances our understanding of anti-colonial resistance by  emphasizing the cultural foundations of political struggles. It shows that effective resistance  must tackle not only political and economic domination but also cultural and linguistic  oppression. </w:t>
      </w:r>
    </w:p>
    <w:p w14:paraId="47F536E3" w14:textId="77777777" w:rsidR="003934E1" w:rsidRDefault="00000000">
      <w:pPr>
        <w:widowControl w:val="0"/>
        <w:spacing w:before="170" w:line="248" w:lineRule="auto"/>
        <w:ind w:left="4" w:right="-3" w:firstLine="4"/>
        <w:jc w:val="both"/>
        <w:rPr>
          <w:rFonts w:ascii="Times New Roman" w:eastAsia="Times New Roman" w:hAnsi="Times New Roman" w:cs="Times New Roman"/>
        </w:rPr>
      </w:pPr>
      <w:r>
        <w:rPr>
          <w:rFonts w:ascii="Times New Roman" w:eastAsia="Times New Roman" w:hAnsi="Times New Roman" w:cs="Times New Roman"/>
        </w:rPr>
        <w:t xml:space="preserve">In the context of contemporary tribal studies, this research highlights the significance of  indigenous languages as vital sources of political thought, historical memory, and cultural  identity. The preservation and revitalization of languages like Mundari are crucial not only for  maintaining cultural continuity but also for fostering authentic approaches to understanding  indigenous societies. </w:t>
      </w:r>
    </w:p>
    <w:p w14:paraId="25476B4C" w14:textId="77777777" w:rsidR="003934E1" w:rsidRDefault="00000000">
      <w:pPr>
        <w:widowControl w:val="0"/>
        <w:spacing w:before="170" w:line="248" w:lineRule="auto"/>
        <w:ind w:left="5" w:right="-4" w:firstLine="1"/>
        <w:jc w:val="both"/>
        <w:rPr>
          <w:rFonts w:ascii="Times New Roman" w:eastAsia="Times New Roman" w:hAnsi="Times New Roman" w:cs="Times New Roman"/>
        </w:rPr>
      </w:pPr>
      <w:r>
        <w:rPr>
          <w:rFonts w:ascii="Times New Roman" w:eastAsia="Times New Roman" w:hAnsi="Times New Roman" w:cs="Times New Roman"/>
        </w:rPr>
        <w:t xml:space="preserve">Birsa Munda's use of Mundari as a language of resistance serves as a powerful model for  contemporary decolonization efforts. His understanding that cultural liberation is inseparable  from political freedom remains relevant for indigenous communities worldwide, who continue  to fight for recognition, rights, and self-determination. </w:t>
      </w:r>
    </w:p>
    <w:p w14:paraId="3FEC0B5D" w14:textId="77777777" w:rsidR="003934E1" w:rsidRDefault="00000000">
      <w:pPr>
        <w:widowControl w:val="0"/>
        <w:spacing w:before="167" w:line="248" w:lineRule="auto"/>
        <w:ind w:left="11" w:right="-3"/>
        <w:jc w:val="both"/>
        <w:rPr>
          <w:rFonts w:ascii="Times New Roman" w:eastAsia="Times New Roman" w:hAnsi="Times New Roman" w:cs="Times New Roman"/>
        </w:rPr>
      </w:pPr>
      <w:r>
        <w:rPr>
          <w:rFonts w:ascii="Times New Roman" w:eastAsia="Times New Roman" w:hAnsi="Times New Roman" w:cs="Times New Roman"/>
        </w:rPr>
        <w:t xml:space="preserve">The legacy of the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extends beyond its immediate historical context and inspires ongoing  efforts for cultural and linguistic decolonization. In </w:t>
      </w:r>
      <w:proofErr w:type="spellStart"/>
      <w:r>
        <w:rPr>
          <w:rFonts w:ascii="Times New Roman" w:eastAsia="Times New Roman" w:hAnsi="Times New Roman" w:cs="Times New Roman"/>
        </w:rPr>
        <w:t>honoring</w:t>
      </w:r>
      <w:proofErr w:type="spellEnd"/>
      <w:r>
        <w:rPr>
          <w:rFonts w:ascii="Times New Roman" w:eastAsia="Times New Roman" w:hAnsi="Times New Roman" w:cs="Times New Roman"/>
        </w:rPr>
        <w:t xml:space="preserve"> this legacy, we must focus on  amplifying indigenous voices, preserving indigenous languages, and acknowledging the depth  of indigenous political thought. Through these efforts, we can truly decolonize tribal studies  and ensure that the vision of leaders like Birsa Munda continues to guide us toward a more just  and inclusive understanding of human diversity and resistance. </w:t>
      </w:r>
    </w:p>
    <w:p w14:paraId="5D7CD6EF" w14:textId="77777777" w:rsidR="003934E1" w:rsidRDefault="00000000">
      <w:pPr>
        <w:widowControl w:val="0"/>
        <w:spacing w:before="169"/>
        <w:ind w:left="7"/>
        <w:rPr>
          <w:rFonts w:ascii="Times New Roman" w:eastAsia="Times New Roman" w:hAnsi="Times New Roman" w:cs="Times New Roman"/>
          <w:b/>
        </w:rPr>
      </w:pPr>
      <w:r>
        <w:rPr>
          <w:rFonts w:ascii="Times New Roman" w:eastAsia="Times New Roman" w:hAnsi="Times New Roman" w:cs="Times New Roman"/>
          <w:b/>
        </w:rPr>
        <w:t xml:space="preserve">References </w:t>
      </w:r>
    </w:p>
    <w:p w14:paraId="194E7B19" w14:textId="77777777" w:rsidR="003934E1" w:rsidRDefault="00000000">
      <w:pPr>
        <w:widowControl w:val="0"/>
        <w:spacing w:before="175" w:line="247" w:lineRule="auto"/>
        <w:ind w:left="1081" w:right="59" w:hanging="342"/>
        <w:rPr>
          <w:rFonts w:ascii="Times New Roman" w:eastAsia="Times New Roman" w:hAnsi="Times New Roman" w:cs="Times New Roman"/>
        </w:rPr>
      </w:pPr>
      <w:r>
        <w:rPr>
          <w:rFonts w:ascii="Times New Roman" w:eastAsia="Times New Roman" w:hAnsi="Times New Roman" w:cs="Times New Roman"/>
        </w:rPr>
        <w:t xml:space="preserve">1. Bandyopadhyay, P. K. (1990). </w:t>
      </w:r>
      <w:r>
        <w:rPr>
          <w:rFonts w:ascii="Times New Roman" w:eastAsia="Times New Roman" w:hAnsi="Times New Roman" w:cs="Times New Roman"/>
          <w:i/>
        </w:rPr>
        <w:t>Oral traditions and the Munda epic: A study in indigenous narratives</w:t>
      </w:r>
      <w:r>
        <w:rPr>
          <w:rFonts w:ascii="Times New Roman" w:eastAsia="Times New Roman" w:hAnsi="Times New Roman" w:cs="Times New Roman"/>
        </w:rPr>
        <w:t xml:space="preserve">. Tribal Research and Development Institute. </w:t>
      </w:r>
    </w:p>
    <w:p w14:paraId="72D5339D" w14:textId="77777777" w:rsidR="003934E1" w:rsidRDefault="00000000">
      <w:pPr>
        <w:widowControl w:val="0"/>
        <w:spacing w:before="170"/>
        <w:ind w:left="715"/>
        <w:rPr>
          <w:rFonts w:ascii="Times New Roman" w:eastAsia="Times New Roman" w:hAnsi="Times New Roman" w:cs="Times New Roman"/>
        </w:rPr>
      </w:pPr>
      <w:r>
        <w:rPr>
          <w:rFonts w:ascii="Times New Roman" w:eastAsia="Times New Roman" w:hAnsi="Times New Roman" w:cs="Times New Roman"/>
        </w:rPr>
        <w:t xml:space="preserve">2. Chaudhuri, B. (1993). </w:t>
      </w:r>
      <w:r>
        <w:rPr>
          <w:rFonts w:ascii="Times New Roman" w:eastAsia="Times New Roman" w:hAnsi="Times New Roman" w:cs="Times New Roman"/>
          <w:i/>
        </w:rPr>
        <w:t>Tribal movements in India</w:t>
      </w:r>
      <w:r>
        <w:rPr>
          <w:rFonts w:ascii="Times New Roman" w:eastAsia="Times New Roman" w:hAnsi="Times New Roman" w:cs="Times New Roman"/>
        </w:rPr>
        <w:t xml:space="preserve">. Inter-India Publications. </w:t>
      </w:r>
    </w:p>
    <w:p w14:paraId="7829FD73" w14:textId="77777777" w:rsidR="003934E1" w:rsidRDefault="00000000">
      <w:pPr>
        <w:widowControl w:val="0"/>
        <w:spacing w:before="178" w:line="247" w:lineRule="auto"/>
        <w:ind w:left="1085" w:right="-4" w:hanging="364"/>
        <w:rPr>
          <w:rFonts w:ascii="Times New Roman" w:eastAsia="Times New Roman" w:hAnsi="Times New Roman" w:cs="Times New Roman"/>
        </w:rPr>
      </w:pPr>
      <w:r>
        <w:rPr>
          <w:rFonts w:ascii="Times New Roman" w:eastAsia="Times New Roman" w:hAnsi="Times New Roman" w:cs="Times New Roman"/>
        </w:rPr>
        <w:t xml:space="preserve">3. Dhan, M. (2002). Birsa Munda: The legendary tribal hero. </w:t>
      </w:r>
      <w:r>
        <w:rPr>
          <w:rFonts w:ascii="Times New Roman" w:eastAsia="Times New Roman" w:hAnsi="Times New Roman" w:cs="Times New Roman"/>
          <w:i/>
        </w:rPr>
        <w:t>Journal of Tribal Studies</w:t>
      </w:r>
      <w:r>
        <w:rPr>
          <w:rFonts w:ascii="Times New Roman" w:eastAsia="Times New Roman" w:hAnsi="Times New Roman" w:cs="Times New Roman"/>
        </w:rPr>
        <w:t xml:space="preserve">,  8(2), 45-62. </w:t>
      </w:r>
    </w:p>
    <w:p w14:paraId="7DED28DF" w14:textId="77777777" w:rsidR="003934E1" w:rsidRDefault="00000000">
      <w:pPr>
        <w:widowControl w:val="0"/>
        <w:spacing w:before="170" w:line="247" w:lineRule="auto"/>
        <w:ind w:left="1079" w:right="-1" w:hanging="364"/>
        <w:rPr>
          <w:rFonts w:ascii="Times New Roman" w:eastAsia="Times New Roman" w:hAnsi="Times New Roman" w:cs="Times New Roman"/>
        </w:rPr>
      </w:pPr>
      <w:r>
        <w:rPr>
          <w:rFonts w:ascii="Times New Roman" w:eastAsia="Times New Roman" w:hAnsi="Times New Roman" w:cs="Times New Roman"/>
        </w:rPr>
        <w:t xml:space="preserve">4. Ghosh, K. K. (1999). </w:t>
      </w:r>
      <w:r>
        <w:rPr>
          <w:rFonts w:ascii="Times New Roman" w:eastAsia="Times New Roman" w:hAnsi="Times New Roman" w:cs="Times New Roman"/>
          <w:i/>
        </w:rPr>
        <w:t>Birsa Munda and his movement</w:t>
      </w:r>
      <w:r>
        <w:rPr>
          <w:rFonts w:ascii="Times New Roman" w:eastAsia="Times New Roman" w:hAnsi="Times New Roman" w:cs="Times New Roman"/>
        </w:rPr>
        <w:t xml:space="preserve">. Calcutta: K.P. Bagchi &amp;  Company. </w:t>
      </w:r>
    </w:p>
    <w:p w14:paraId="0E45FC35" w14:textId="77777777" w:rsidR="003934E1" w:rsidRDefault="00000000">
      <w:pPr>
        <w:widowControl w:val="0"/>
        <w:spacing w:before="171" w:line="247" w:lineRule="auto"/>
        <w:ind w:left="1071" w:right="-4" w:hanging="349"/>
        <w:rPr>
          <w:rFonts w:ascii="Times New Roman" w:eastAsia="Times New Roman" w:hAnsi="Times New Roman" w:cs="Times New Roman"/>
        </w:rPr>
      </w:pPr>
      <w:r>
        <w:rPr>
          <w:rFonts w:ascii="Times New Roman" w:eastAsia="Times New Roman" w:hAnsi="Times New Roman" w:cs="Times New Roman"/>
        </w:rPr>
        <w:t xml:space="preserve">5. Guha, R. (1999). </w:t>
      </w:r>
      <w:r>
        <w:rPr>
          <w:rFonts w:ascii="Times New Roman" w:eastAsia="Times New Roman" w:hAnsi="Times New Roman" w:cs="Times New Roman"/>
          <w:i/>
        </w:rPr>
        <w:t>Savaging the civilized: Verrier Elwin, his tribals, and India</w:t>
      </w:r>
      <w:r>
        <w:rPr>
          <w:rFonts w:ascii="Times New Roman" w:eastAsia="Times New Roman" w:hAnsi="Times New Roman" w:cs="Times New Roman"/>
        </w:rPr>
        <w:t xml:space="preserve">.  University of Chicago Press. </w:t>
      </w:r>
    </w:p>
    <w:p w14:paraId="2DE94736" w14:textId="77777777" w:rsidR="003934E1" w:rsidRDefault="00000000">
      <w:pPr>
        <w:widowControl w:val="0"/>
        <w:spacing w:before="168" w:line="249" w:lineRule="auto"/>
        <w:ind w:left="1063" w:hanging="342"/>
        <w:rPr>
          <w:rFonts w:ascii="Times New Roman" w:eastAsia="Times New Roman" w:hAnsi="Times New Roman" w:cs="Times New Roman"/>
        </w:rPr>
      </w:pPr>
      <w:r>
        <w:rPr>
          <w:rFonts w:ascii="Times New Roman" w:eastAsia="Times New Roman" w:hAnsi="Times New Roman" w:cs="Times New Roman"/>
        </w:rPr>
        <w:t xml:space="preserve">6. Horo, M. L. (2018). Language, identity and resistance: The Mundari experience.  </w:t>
      </w:r>
      <w:r>
        <w:rPr>
          <w:rFonts w:ascii="Times New Roman" w:eastAsia="Times New Roman" w:hAnsi="Times New Roman" w:cs="Times New Roman"/>
          <w:i/>
        </w:rPr>
        <w:t>International Journal of Tribal Languages</w:t>
      </w:r>
      <w:r>
        <w:rPr>
          <w:rFonts w:ascii="Times New Roman" w:eastAsia="Times New Roman" w:hAnsi="Times New Roman" w:cs="Times New Roman"/>
        </w:rPr>
        <w:t xml:space="preserve">, 12(3), 78-95. </w:t>
      </w:r>
    </w:p>
    <w:p w14:paraId="695DA0CE" w14:textId="77777777" w:rsidR="003934E1" w:rsidRDefault="00000000">
      <w:pPr>
        <w:widowControl w:val="0"/>
        <w:spacing w:before="166" w:line="247" w:lineRule="auto"/>
        <w:ind w:left="719" w:right="2"/>
        <w:jc w:val="center"/>
        <w:rPr>
          <w:rFonts w:ascii="Times New Roman" w:eastAsia="Times New Roman" w:hAnsi="Times New Roman" w:cs="Times New Roman"/>
        </w:rPr>
      </w:pPr>
      <w:r>
        <w:rPr>
          <w:rFonts w:ascii="Times New Roman" w:eastAsia="Times New Roman" w:hAnsi="Times New Roman" w:cs="Times New Roman"/>
        </w:rPr>
        <w:t xml:space="preserve">7. Kumar, R. (2022). The linguistic essence of resistance: Idioms and expressions in  the Mundari language. </w:t>
      </w:r>
      <w:r>
        <w:rPr>
          <w:rFonts w:ascii="Times New Roman" w:eastAsia="Times New Roman" w:hAnsi="Times New Roman" w:cs="Times New Roman"/>
          <w:i/>
        </w:rPr>
        <w:t>Journal of Indigenous Linguistics</w:t>
      </w:r>
      <w:r>
        <w:rPr>
          <w:rFonts w:ascii="Times New Roman" w:eastAsia="Times New Roman" w:hAnsi="Times New Roman" w:cs="Times New Roman"/>
        </w:rPr>
        <w:t xml:space="preserve">, 15(2), 87-104. </w:t>
      </w:r>
    </w:p>
    <w:p w14:paraId="47EEF5E6" w14:textId="77777777" w:rsidR="003934E1" w:rsidRDefault="00000000">
      <w:pPr>
        <w:widowControl w:val="0"/>
        <w:spacing w:before="170" w:line="247" w:lineRule="auto"/>
        <w:ind w:left="1078" w:right="-1" w:hanging="353"/>
        <w:rPr>
          <w:rFonts w:ascii="Times New Roman" w:eastAsia="Times New Roman" w:hAnsi="Times New Roman" w:cs="Times New Roman"/>
        </w:rPr>
      </w:pPr>
      <w:r>
        <w:rPr>
          <w:rFonts w:ascii="Times New Roman" w:eastAsia="Times New Roman" w:hAnsi="Times New Roman" w:cs="Times New Roman"/>
        </w:rPr>
        <w:t xml:space="preserve">8. Kumari, P. (2019). Birsa Munda and the making of tribal political consciousness in  colonial India. </w:t>
      </w:r>
      <w:r>
        <w:rPr>
          <w:rFonts w:ascii="Times New Roman" w:eastAsia="Times New Roman" w:hAnsi="Times New Roman" w:cs="Times New Roman"/>
          <w:i/>
        </w:rPr>
        <w:t>Indian Historical Review</w:t>
      </w:r>
      <w:r>
        <w:rPr>
          <w:rFonts w:ascii="Times New Roman" w:eastAsia="Times New Roman" w:hAnsi="Times New Roman" w:cs="Times New Roman"/>
        </w:rPr>
        <w:t>, 46(1), 45-63.</w:t>
      </w:r>
    </w:p>
    <w:p w14:paraId="355C4415" w14:textId="77777777" w:rsidR="003934E1" w:rsidRDefault="00000000">
      <w:pPr>
        <w:widowControl w:val="0"/>
        <w:spacing w:line="248" w:lineRule="auto"/>
        <w:ind w:left="1075" w:right="-4" w:hanging="355"/>
        <w:rPr>
          <w:rFonts w:ascii="Times New Roman" w:eastAsia="Times New Roman" w:hAnsi="Times New Roman" w:cs="Times New Roman"/>
        </w:rPr>
      </w:pPr>
      <w:r>
        <w:rPr>
          <w:rFonts w:ascii="Times New Roman" w:eastAsia="Times New Roman" w:hAnsi="Times New Roman" w:cs="Times New Roman"/>
        </w:rPr>
        <w:t xml:space="preserve">9. Lal, B. B. (1976). Contemporary tribal movements in India. </w:t>
      </w:r>
      <w:r>
        <w:rPr>
          <w:rFonts w:ascii="Times New Roman" w:eastAsia="Times New Roman" w:hAnsi="Times New Roman" w:cs="Times New Roman"/>
          <w:i/>
        </w:rPr>
        <w:t>Man in India</w:t>
      </w:r>
      <w:r>
        <w:rPr>
          <w:rFonts w:ascii="Times New Roman" w:eastAsia="Times New Roman" w:hAnsi="Times New Roman" w:cs="Times New Roman"/>
        </w:rPr>
        <w:t xml:space="preserve">, 56(4),  298-315. </w:t>
      </w:r>
    </w:p>
    <w:p w14:paraId="2FACB711" w14:textId="77777777" w:rsidR="003934E1" w:rsidRDefault="00000000">
      <w:pPr>
        <w:widowControl w:val="0"/>
        <w:spacing w:before="170" w:line="247" w:lineRule="auto"/>
        <w:ind w:left="1074" w:right="-3" w:hanging="336"/>
        <w:rPr>
          <w:rFonts w:ascii="Times New Roman" w:eastAsia="Times New Roman" w:hAnsi="Times New Roman" w:cs="Times New Roman"/>
        </w:rPr>
      </w:pPr>
      <w:r>
        <w:rPr>
          <w:rFonts w:ascii="Times New Roman" w:eastAsia="Times New Roman" w:hAnsi="Times New Roman" w:cs="Times New Roman"/>
        </w:rPr>
        <w:t xml:space="preserve">10. Mahto, N. K. (2013). </w:t>
      </w:r>
      <w:r>
        <w:rPr>
          <w:rFonts w:ascii="Times New Roman" w:eastAsia="Times New Roman" w:hAnsi="Times New Roman" w:cs="Times New Roman"/>
          <w:i/>
        </w:rPr>
        <w:t xml:space="preserve">Birsa Munda: </w:t>
      </w:r>
      <w:proofErr w:type="spellStart"/>
      <w:r>
        <w:rPr>
          <w:rFonts w:ascii="Times New Roman" w:eastAsia="Times New Roman" w:hAnsi="Times New Roman" w:cs="Times New Roman"/>
          <w:i/>
        </w:rPr>
        <w:t>Janjatiya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nayak</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[Birsa Munda: Tribal leader].  Ranchi: Catholic Press. </w:t>
      </w:r>
    </w:p>
    <w:p w14:paraId="0FF7CE10" w14:textId="77777777" w:rsidR="003934E1" w:rsidRDefault="00000000">
      <w:pPr>
        <w:widowControl w:val="0"/>
        <w:spacing w:before="170" w:line="247" w:lineRule="auto"/>
        <w:ind w:left="1075" w:right="-2" w:hanging="336"/>
        <w:rPr>
          <w:rFonts w:ascii="Times New Roman" w:eastAsia="Times New Roman" w:hAnsi="Times New Roman" w:cs="Times New Roman"/>
        </w:rPr>
      </w:pPr>
      <w:r>
        <w:rPr>
          <w:rFonts w:ascii="Times New Roman" w:eastAsia="Times New Roman" w:hAnsi="Times New Roman" w:cs="Times New Roman"/>
        </w:rPr>
        <w:t xml:space="preserve">11. Munda, R. D. (1988). </w:t>
      </w:r>
      <w:proofErr w:type="spellStart"/>
      <w:r>
        <w:rPr>
          <w:rFonts w:ascii="Times New Roman" w:eastAsia="Times New Roman" w:hAnsi="Times New Roman" w:cs="Times New Roman"/>
          <w:i/>
        </w:rPr>
        <w:t>Aadivasi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asmita</w:t>
      </w:r>
      <w:proofErr w:type="spellEnd"/>
      <w:r>
        <w:rPr>
          <w:rFonts w:ascii="Times New Roman" w:eastAsia="Times New Roman" w:hAnsi="Times New Roman" w:cs="Times New Roman"/>
          <w:i/>
        </w:rPr>
        <w:t xml:space="preserve"> aur Jharkhand </w:t>
      </w:r>
      <w:r>
        <w:rPr>
          <w:rFonts w:ascii="Times New Roman" w:eastAsia="Times New Roman" w:hAnsi="Times New Roman" w:cs="Times New Roman"/>
        </w:rPr>
        <w:t xml:space="preserve">[Tribal identity and  </w:t>
      </w:r>
      <w:r>
        <w:rPr>
          <w:rFonts w:ascii="Times New Roman" w:eastAsia="Times New Roman" w:hAnsi="Times New Roman" w:cs="Times New Roman"/>
        </w:rPr>
        <w:lastRenderedPageBreak/>
        <w:t xml:space="preserve">Jharkhand]. Ranchi: Tribal Research Institute. </w:t>
      </w:r>
    </w:p>
    <w:p w14:paraId="30A8E8D8" w14:textId="77777777" w:rsidR="003934E1" w:rsidRDefault="00000000">
      <w:pPr>
        <w:widowControl w:val="0"/>
        <w:spacing w:before="170" w:line="247" w:lineRule="auto"/>
        <w:ind w:left="1063" w:right="-2" w:hanging="324"/>
        <w:jc w:val="both"/>
        <w:rPr>
          <w:rFonts w:ascii="Times New Roman" w:eastAsia="Times New Roman" w:hAnsi="Times New Roman" w:cs="Times New Roman"/>
        </w:rPr>
      </w:pPr>
      <w:r>
        <w:rPr>
          <w:rFonts w:ascii="Times New Roman" w:eastAsia="Times New Roman" w:hAnsi="Times New Roman" w:cs="Times New Roman"/>
        </w:rPr>
        <w:t xml:space="preserve">12. Munda, R. D., &amp; Zide, N. (1969). Mundari songs of resistance: An ethnolinguistic  analysis of Birsa Munda's movement. </w:t>
      </w:r>
      <w:r>
        <w:rPr>
          <w:rFonts w:ascii="Times New Roman" w:eastAsia="Times New Roman" w:hAnsi="Times New Roman" w:cs="Times New Roman"/>
          <w:i/>
        </w:rPr>
        <w:t>Journal of South Asian Languages and  Linguistics</w:t>
      </w:r>
      <w:r>
        <w:rPr>
          <w:rFonts w:ascii="Times New Roman" w:eastAsia="Times New Roman" w:hAnsi="Times New Roman" w:cs="Times New Roman"/>
        </w:rPr>
        <w:t xml:space="preserve">, 3(1), 23-41. </w:t>
      </w:r>
    </w:p>
    <w:p w14:paraId="5AF986AD" w14:textId="77777777" w:rsidR="003934E1" w:rsidRDefault="00000000">
      <w:pPr>
        <w:widowControl w:val="0"/>
        <w:spacing w:before="170" w:line="248" w:lineRule="auto"/>
        <w:ind w:left="1085" w:right="-3" w:hanging="347"/>
        <w:rPr>
          <w:rFonts w:ascii="Times New Roman" w:eastAsia="Times New Roman" w:hAnsi="Times New Roman" w:cs="Times New Roman"/>
        </w:rPr>
      </w:pPr>
      <w:r>
        <w:rPr>
          <w:rFonts w:ascii="Times New Roman" w:eastAsia="Times New Roman" w:hAnsi="Times New Roman" w:cs="Times New Roman"/>
        </w:rPr>
        <w:t xml:space="preserve">13. Orans, M. (1965). </w:t>
      </w:r>
      <w:r>
        <w:rPr>
          <w:rFonts w:ascii="Times New Roman" w:eastAsia="Times New Roman" w:hAnsi="Times New Roman" w:cs="Times New Roman"/>
          <w:i/>
        </w:rPr>
        <w:t>The Santal: A tribe in search of a great tradition</w:t>
      </w:r>
      <w:r>
        <w:rPr>
          <w:rFonts w:ascii="Times New Roman" w:eastAsia="Times New Roman" w:hAnsi="Times New Roman" w:cs="Times New Roman"/>
        </w:rPr>
        <w:t xml:space="preserve">. Detroit: Wayne  State University Press. </w:t>
      </w:r>
    </w:p>
    <w:p w14:paraId="31B07D61" w14:textId="77777777" w:rsidR="003934E1" w:rsidRDefault="00000000">
      <w:pPr>
        <w:widowControl w:val="0"/>
        <w:spacing w:before="167" w:line="247" w:lineRule="auto"/>
        <w:ind w:left="738" w:right="1"/>
        <w:jc w:val="center"/>
        <w:rPr>
          <w:rFonts w:ascii="Times New Roman" w:eastAsia="Times New Roman" w:hAnsi="Times New Roman" w:cs="Times New Roman"/>
        </w:rPr>
      </w:pPr>
      <w:r>
        <w:rPr>
          <w:rFonts w:ascii="Times New Roman" w:eastAsia="Times New Roman" w:hAnsi="Times New Roman" w:cs="Times New Roman"/>
        </w:rPr>
        <w:t xml:space="preserve">14. </w:t>
      </w:r>
      <w:proofErr w:type="spellStart"/>
      <w:r>
        <w:rPr>
          <w:rFonts w:ascii="Times New Roman" w:eastAsia="Times New Roman" w:hAnsi="Times New Roman" w:cs="Times New Roman"/>
        </w:rPr>
        <w:t>Raonka</w:t>
      </w:r>
      <w:proofErr w:type="spellEnd"/>
      <w:r>
        <w:rPr>
          <w:rFonts w:ascii="Times New Roman" w:eastAsia="Times New Roman" w:hAnsi="Times New Roman" w:cs="Times New Roman"/>
        </w:rPr>
        <w:t xml:space="preserve">, P. (2021). Indigenous identity and language revitalization: The case of  Mundari in Jharkhand. </w:t>
      </w:r>
      <w:r>
        <w:rPr>
          <w:rFonts w:ascii="Times New Roman" w:eastAsia="Times New Roman" w:hAnsi="Times New Roman" w:cs="Times New Roman"/>
          <w:i/>
        </w:rPr>
        <w:t>International Journal of Tribal Studies</w:t>
      </w:r>
      <w:r>
        <w:rPr>
          <w:rFonts w:ascii="Times New Roman" w:eastAsia="Times New Roman" w:hAnsi="Times New Roman" w:cs="Times New Roman"/>
        </w:rPr>
        <w:t xml:space="preserve">, 28(3), 112-130. </w:t>
      </w:r>
    </w:p>
    <w:p w14:paraId="5AC6C69B" w14:textId="77777777" w:rsidR="003934E1" w:rsidRDefault="00000000">
      <w:pPr>
        <w:widowControl w:val="0"/>
        <w:spacing w:before="170" w:line="381" w:lineRule="auto"/>
        <w:ind w:left="738" w:right="676"/>
        <w:rPr>
          <w:rFonts w:ascii="Times New Roman" w:eastAsia="Times New Roman" w:hAnsi="Times New Roman" w:cs="Times New Roman"/>
        </w:rPr>
      </w:pPr>
      <w:r>
        <w:rPr>
          <w:rFonts w:ascii="Times New Roman" w:eastAsia="Times New Roman" w:hAnsi="Times New Roman" w:cs="Times New Roman"/>
        </w:rPr>
        <w:t xml:space="preserve">15. Roy, S. C. (1912). </w:t>
      </w:r>
      <w:r>
        <w:rPr>
          <w:rFonts w:ascii="Times New Roman" w:eastAsia="Times New Roman" w:hAnsi="Times New Roman" w:cs="Times New Roman"/>
          <w:i/>
        </w:rPr>
        <w:t xml:space="preserve">The </w:t>
      </w:r>
      <w:proofErr w:type="spellStart"/>
      <w:r>
        <w:rPr>
          <w:rFonts w:ascii="Times New Roman" w:eastAsia="Times New Roman" w:hAnsi="Times New Roman" w:cs="Times New Roman"/>
          <w:i/>
        </w:rPr>
        <w:t>Mundas</w:t>
      </w:r>
      <w:proofErr w:type="spellEnd"/>
      <w:r>
        <w:rPr>
          <w:rFonts w:ascii="Times New Roman" w:eastAsia="Times New Roman" w:hAnsi="Times New Roman" w:cs="Times New Roman"/>
          <w:i/>
        </w:rPr>
        <w:t xml:space="preserve"> and their country</w:t>
      </w:r>
      <w:r>
        <w:rPr>
          <w:rFonts w:ascii="Times New Roman" w:eastAsia="Times New Roman" w:hAnsi="Times New Roman" w:cs="Times New Roman"/>
        </w:rPr>
        <w:t xml:space="preserve">. Calcutta: </w:t>
      </w:r>
      <w:proofErr w:type="spellStart"/>
      <w:r>
        <w:rPr>
          <w:rFonts w:ascii="Times New Roman" w:eastAsia="Times New Roman" w:hAnsi="Times New Roman" w:cs="Times New Roman"/>
        </w:rPr>
        <w:t>Kuntaline</w:t>
      </w:r>
      <w:proofErr w:type="spellEnd"/>
      <w:r>
        <w:rPr>
          <w:rFonts w:ascii="Times New Roman" w:eastAsia="Times New Roman" w:hAnsi="Times New Roman" w:cs="Times New Roman"/>
        </w:rPr>
        <w:t xml:space="preserve"> Press. 16. Sengupta, N. (1982). </w:t>
      </w:r>
      <w:r>
        <w:rPr>
          <w:rFonts w:ascii="Times New Roman" w:eastAsia="Times New Roman" w:hAnsi="Times New Roman" w:cs="Times New Roman"/>
          <w:i/>
        </w:rPr>
        <w:t>Jharkhand movement</w:t>
      </w:r>
      <w:r>
        <w:rPr>
          <w:rFonts w:ascii="Times New Roman" w:eastAsia="Times New Roman" w:hAnsi="Times New Roman" w:cs="Times New Roman"/>
        </w:rPr>
        <w:t xml:space="preserve">. Gyan Publishing House. </w:t>
      </w:r>
    </w:p>
    <w:p w14:paraId="16BE1662" w14:textId="77777777" w:rsidR="003934E1" w:rsidRDefault="00000000">
      <w:pPr>
        <w:widowControl w:val="0"/>
        <w:spacing w:before="36" w:line="247" w:lineRule="auto"/>
        <w:ind w:left="1074" w:right="-2" w:hanging="336"/>
        <w:rPr>
          <w:rFonts w:ascii="Times New Roman" w:eastAsia="Times New Roman" w:hAnsi="Times New Roman" w:cs="Times New Roman"/>
        </w:rPr>
      </w:pPr>
      <w:r>
        <w:rPr>
          <w:rFonts w:ascii="Times New Roman" w:eastAsia="Times New Roman" w:hAnsi="Times New Roman" w:cs="Times New Roman"/>
        </w:rPr>
        <w:t xml:space="preserve">17. Singh, K. S. (1983). </w:t>
      </w:r>
      <w:r>
        <w:rPr>
          <w:rFonts w:ascii="Times New Roman" w:eastAsia="Times New Roman" w:hAnsi="Times New Roman" w:cs="Times New Roman"/>
          <w:i/>
        </w:rPr>
        <w:t xml:space="preserve">Birsa Munda and his movement, 1874-1901: A study of a  millenarian movement in </w:t>
      </w:r>
      <w:proofErr w:type="spellStart"/>
      <w:r>
        <w:rPr>
          <w:rFonts w:ascii="Times New Roman" w:eastAsia="Times New Roman" w:hAnsi="Times New Roman" w:cs="Times New Roman"/>
          <w:i/>
        </w:rPr>
        <w:t>Chotanagpur</w:t>
      </w:r>
      <w:proofErr w:type="spellEnd"/>
      <w:r>
        <w:rPr>
          <w:rFonts w:ascii="Times New Roman" w:eastAsia="Times New Roman" w:hAnsi="Times New Roman" w:cs="Times New Roman"/>
        </w:rPr>
        <w:t xml:space="preserve">. Oxford University Press. </w:t>
      </w:r>
    </w:p>
    <w:p w14:paraId="156D5A90" w14:textId="77777777" w:rsidR="003934E1" w:rsidRDefault="00000000">
      <w:pPr>
        <w:widowControl w:val="0"/>
        <w:spacing w:before="170" w:line="247" w:lineRule="auto"/>
        <w:ind w:left="1076" w:hanging="337"/>
        <w:rPr>
          <w:rFonts w:ascii="Times New Roman" w:eastAsia="Times New Roman" w:hAnsi="Times New Roman" w:cs="Times New Roman"/>
        </w:rPr>
      </w:pPr>
      <w:r>
        <w:rPr>
          <w:rFonts w:ascii="Times New Roman" w:eastAsia="Times New Roman" w:hAnsi="Times New Roman" w:cs="Times New Roman"/>
        </w:rPr>
        <w:t xml:space="preserve">18. Sinha, S. (2008). Colonial policies and the suppression of tribal languages in British  India. </w:t>
      </w:r>
      <w:r>
        <w:rPr>
          <w:rFonts w:ascii="Times New Roman" w:eastAsia="Times New Roman" w:hAnsi="Times New Roman" w:cs="Times New Roman"/>
          <w:i/>
        </w:rPr>
        <w:t>South Asian Historical Studies</w:t>
      </w:r>
      <w:r>
        <w:rPr>
          <w:rFonts w:ascii="Times New Roman" w:eastAsia="Times New Roman" w:hAnsi="Times New Roman" w:cs="Times New Roman"/>
        </w:rPr>
        <w:t xml:space="preserve">, 12(4), 217-240. </w:t>
      </w:r>
    </w:p>
    <w:p w14:paraId="1F37F931" w14:textId="77777777" w:rsidR="003934E1" w:rsidRDefault="00000000">
      <w:pPr>
        <w:widowControl w:val="0"/>
        <w:spacing w:before="168" w:line="249" w:lineRule="auto"/>
        <w:ind w:left="1076" w:right="-1" w:hanging="337"/>
        <w:rPr>
          <w:rFonts w:ascii="Times New Roman" w:eastAsia="Times New Roman" w:hAnsi="Times New Roman" w:cs="Times New Roman"/>
        </w:rPr>
      </w:pPr>
      <w:r>
        <w:rPr>
          <w:rFonts w:ascii="Times New Roman" w:eastAsia="Times New Roman" w:hAnsi="Times New Roman" w:cs="Times New Roman"/>
        </w:rPr>
        <w:t xml:space="preserve">19. </w:t>
      </w:r>
      <w:proofErr w:type="spellStart"/>
      <w:r>
        <w:rPr>
          <w:rFonts w:ascii="Times New Roman" w:eastAsia="Times New Roman" w:hAnsi="Times New Roman" w:cs="Times New Roman"/>
        </w:rPr>
        <w:t>Skrefsrud</w:t>
      </w:r>
      <w:proofErr w:type="spellEnd"/>
      <w:r>
        <w:rPr>
          <w:rFonts w:ascii="Times New Roman" w:eastAsia="Times New Roman" w:hAnsi="Times New Roman" w:cs="Times New Roman"/>
        </w:rPr>
        <w:t xml:space="preserve">, L. O. (1887). </w:t>
      </w:r>
      <w:r>
        <w:rPr>
          <w:rFonts w:ascii="Times New Roman" w:eastAsia="Times New Roman" w:hAnsi="Times New Roman" w:cs="Times New Roman"/>
          <w:i/>
        </w:rPr>
        <w:t>A grammar of the Mundari language, with vocabularies  and notes</w:t>
      </w:r>
      <w:r>
        <w:rPr>
          <w:rFonts w:ascii="Times New Roman" w:eastAsia="Times New Roman" w:hAnsi="Times New Roman" w:cs="Times New Roman"/>
        </w:rPr>
        <w:t xml:space="preserve">. Calcutta: Bengal Secretariat Press. </w:t>
      </w:r>
    </w:p>
    <w:p w14:paraId="415F8D17" w14:textId="77777777" w:rsidR="003934E1" w:rsidRDefault="00000000">
      <w:pPr>
        <w:widowControl w:val="0"/>
        <w:spacing w:before="166" w:line="247" w:lineRule="auto"/>
        <w:ind w:left="1074" w:right="-3" w:hanging="359"/>
        <w:rPr>
          <w:rFonts w:ascii="Times New Roman" w:eastAsia="Times New Roman" w:hAnsi="Times New Roman" w:cs="Times New Roman"/>
        </w:rPr>
      </w:pPr>
      <w:r>
        <w:rPr>
          <w:rFonts w:ascii="Times New Roman" w:eastAsia="Times New Roman" w:hAnsi="Times New Roman" w:cs="Times New Roman"/>
        </w:rPr>
        <w:t xml:space="preserve">20. </w:t>
      </w: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xml:space="preserve">, V. (2008). </w:t>
      </w:r>
      <w:r>
        <w:rPr>
          <w:rFonts w:ascii="Times New Roman" w:eastAsia="Times New Roman" w:hAnsi="Times New Roman" w:cs="Times New Roman"/>
          <w:i/>
        </w:rPr>
        <w:t>State, society, and tribes: Issues in post-colonial India</w:t>
      </w:r>
      <w:r>
        <w:rPr>
          <w:rFonts w:ascii="Times New Roman" w:eastAsia="Times New Roman" w:hAnsi="Times New Roman" w:cs="Times New Roman"/>
        </w:rPr>
        <w:t>. Delhi:  Pearson Longman.</w:t>
      </w:r>
    </w:p>
    <w:p w14:paraId="09B47F5B" w14:textId="77777777" w:rsidR="003934E1" w:rsidRDefault="003934E1">
      <w:pPr>
        <w:spacing w:before="280" w:after="280" w:line="360" w:lineRule="auto"/>
        <w:jc w:val="both"/>
        <w:rPr>
          <w:rFonts w:ascii="Times New Roman" w:eastAsia="Times New Roman" w:hAnsi="Times New Roman" w:cs="Times New Roman"/>
        </w:rPr>
      </w:pPr>
    </w:p>
    <w:p w14:paraId="6C866AEC" w14:textId="77777777" w:rsidR="003934E1" w:rsidRDefault="003934E1">
      <w:pPr>
        <w:spacing w:before="280" w:after="280" w:line="360" w:lineRule="auto"/>
        <w:jc w:val="both"/>
        <w:rPr>
          <w:rFonts w:ascii="Times New Roman" w:eastAsia="Times New Roman" w:hAnsi="Times New Roman" w:cs="Times New Roman"/>
        </w:rPr>
      </w:pPr>
    </w:p>
    <w:p w14:paraId="7BC0C7A8" w14:textId="77777777" w:rsidR="003934E1" w:rsidRDefault="003934E1">
      <w:pPr>
        <w:spacing w:before="280" w:after="280" w:line="360" w:lineRule="auto"/>
        <w:jc w:val="both"/>
        <w:rPr>
          <w:rFonts w:ascii="Times New Roman" w:eastAsia="Times New Roman" w:hAnsi="Times New Roman" w:cs="Times New Roman"/>
        </w:rPr>
      </w:pPr>
    </w:p>
    <w:p w14:paraId="2DB875D6" w14:textId="77777777" w:rsidR="003934E1" w:rsidRDefault="003934E1">
      <w:pPr>
        <w:spacing w:before="280" w:after="280" w:line="360" w:lineRule="auto"/>
        <w:jc w:val="both"/>
        <w:rPr>
          <w:rFonts w:ascii="Times New Roman" w:eastAsia="Times New Roman" w:hAnsi="Times New Roman" w:cs="Times New Roman"/>
        </w:rPr>
      </w:pPr>
    </w:p>
    <w:p w14:paraId="188D6BAF" w14:textId="77777777" w:rsidR="003934E1" w:rsidRDefault="003934E1">
      <w:pPr>
        <w:spacing w:before="280" w:after="280" w:line="360" w:lineRule="auto"/>
        <w:jc w:val="both"/>
        <w:rPr>
          <w:rFonts w:ascii="Times New Roman" w:eastAsia="Times New Roman" w:hAnsi="Times New Roman" w:cs="Times New Roman"/>
        </w:rPr>
      </w:pPr>
    </w:p>
    <w:p w14:paraId="0468E35B" w14:textId="77777777" w:rsidR="003934E1" w:rsidRDefault="003934E1">
      <w:pPr>
        <w:spacing w:before="280" w:after="280" w:line="360" w:lineRule="auto"/>
        <w:jc w:val="both"/>
        <w:rPr>
          <w:rFonts w:ascii="Times New Roman" w:eastAsia="Times New Roman" w:hAnsi="Times New Roman" w:cs="Times New Roman"/>
        </w:rPr>
      </w:pPr>
    </w:p>
    <w:p w14:paraId="46E6D82D" w14:textId="77777777" w:rsidR="003934E1" w:rsidRDefault="003934E1">
      <w:pPr>
        <w:spacing w:before="280" w:after="280" w:line="360" w:lineRule="auto"/>
        <w:jc w:val="both"/>
        <w:rPr>
          <w:rFonts w:ascii="Times New Roman" w:eastAsia="Times New Roman" w:hAnsi="Times New Roman" w:cs="Times New Roman"/>
        </w:rPr>
      </w:pPr>
    </w:p>
    <w:p w14:paraId="21000014" w14:textId="77777777" w:rsidR="003934E1" w:rsidRDefault="003934E1">
      <w:pPr>
        <w:spacing w:before="280" w:after="280" w:line="360" w:lineRule="auto"/>
        <w:jc w:val="both"/>
        <w:rPr>
          <w:rFonts w:ascii="Times New Roman" w:eastAsia="Times New Roman" w:hAnsi="Times New Roman" w:cs="Times New Roman"/>
        </w:rPr>
      </w:pPr>
    </w:p>
    <w:p w14:paraId="180FCEEB" w14:textId="77777777" w:rsidR="003934E1" w:rsidRDefault="003934E1">
      <w:pPr>
        <w:spacing w:before="280" w:after="280" w:line="360" w:lineRule="auto"/>
        <w:jc w:val="both"/>
        <w:rPr>
          <w:rFonts w:ascii="Times New Roman" w:eastAsia="Times New Roman" w:hAnsi="Times New Roman" w:cs="Times New Roman"/>
        </w:rPr>
      </w:pPr>
    </w:p>
    <w:p w14:paraId="3181C412" w14:textId="77777777" w:rsidR="003934E1" w:rsidRDefault="003934E1">
      <w:pPr>
        <w:spacing w:before="280" w:after="280" w:line="360" w:lineRule="auto"/>
        <w:jc w:val="both"/>
        <w:rPr>
          <w:rFonts w:ascii="Times New Roman" w:eastAsia="Times New Roman" w:hAnsi="Times New Roman" w:cs="Times New Roman"/>
        </w:rPr>
      </w:pPr>
    </w:p>
    <w:p w14:paraId="5A4BB0F1" w14:textId="77777777" w:rsidR="003934E1" w:rsidRDefault="003934E1">
      <w:pPr>
        <w:spacing w:before="280" w:after="280" w:line="360" w:lineRule="auto"/>
        <w:jc w:val="both"/>
        <w:rPr>
          <w:rFonts w:ascii="Times New Roman" w:eastAsia="Times New Roman" w:hAnsi="Times New Roman" w:cs="Times New Roman"/>
        </w:rPr>
      </w:pPr>
    </w:p>
    <w:p w14:paraId="24CFF58E" w14:textId="77777777" w:rsidR="003934E1" w:rsidRDefault="003934E1">
      <w:pPr>
        <w:spacing w:before="280" w:after="280" w:line="360" w:lineRule="auto"/>
        <w:jc w:val="both"/>
        <w:rPr>
          <w:rFonts w:ascii="Times New Roman" w:eastAsia="Times New Roman" w:hAnsi="Times New Roman" w:cs="Times New Roman"/>
        </w:rPr>
      </w:pPr>
    </w:p>
    <w:p w14:paraId="590C008E" w14:textId="77777777" w:rsidR="003934E1" w:rsidRDefault="00000000">
      <w:pPr>
        <w:spacing w:after="20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rPr>
        <w:t xml:space="preserve"> </w:t>
      </w:r>
      <w:r>
        <w:rPr>
          <w:rFonts w:ascii="Times New Roman" w:eastAsia="Times New Roman" w:hAnsi="Times New Roman" w:cs="Times New Roman"/>
          <w:b/>
          <w:sz w:val="28"/>
          <w:szCs w:val="28"/>
        </w:rPr>
        <w:t xml:space="preserve">A Critical Analysis of Birsa Munda`s Dream of </w:t>
      </w:r>
      <w:proofErr w:type="spellStart"/>
      <w:r>
        <w:rPr>
          <w:rFonts w:ascii="Times New Roman" w:eastAsia="Times New Roman" w:hAnsi="Times New Roman" w:cs="Times New Roman"/>
          <w:b/>
          <w:i/>
          <w:sz w:val="28"/>
          <w:szCs w:val="28"/>
        </w:rPr>
        <w:t>Abua</w:t>
      </w:r>
      <w:proofErr w:type="spellEnd"/>
      <w:r>
        <w:rPr>
          <w:rFonts w:ascii="Times New Roman" w:eastAsia="Times New Roman" w:hAnsi="Times New Roman" w:cs="Times New Roman"/>
          <w:b/>
          <w:i/>
          <w:sz w:val="28"/>
          <w:szCs w:val="28"/>
        </w:rPr>
        <w:t xml:space="preserve"> Disum-</w:t>
      </w:r>
      <w:proofErr w:type="spellStart"/>
      <w:r>
        <w:rPr>
          <w:rFonts w:ascii="Times New Roman" w:eastAsia="Times New Roman" w:hAnsi="Times New Roman" w:cs="Times New Roman"/>
          <w:b/>
          <w:i/>
          <w:sz w:val="28"/>
          <w:szCs w:val="28"/>
        </w:rPr>
        <w:t>Abua</w:t>
      </w:r>
      <w:proofErr w:type="spellEnd"/>
      <w:r>
        <w:rPr>
          <w:rFonts w:ascii="Times New Roman" w:eastAsia="Times New Roman" w:hAnsi="Times New Roman" w:cs="Times New Roman"/>
          <w:b/>
          <w:i/>
          <w:sz w:val="28"/>
          <w:szCs w:val="28"/>
        </w:rPr>
        <w:t xml:space="preserve"> Raij</w:t>
      </w:r>
    </w:p>
    <w:p w14:paraId="3C7E3BBA" w14:textId="77777777" w:rsidR="003934E1" w:rsidRDefault="003934E1">
      <w:pPr>
        <w:spacing w:after="200" w:line="360" w:lineRule="auto"/>
        <w:jc w:val="both"/>
        <w:rPr>
          <w:rFonts w:ascii="Times New Roman" w:eastAsia="Times New Roman" w:hAnsi="Times New Roman" w:cs="Times New Roman"/>
        </w:rPr>
      </w:pPr>
    </w:p>
    <w:p w14:paraId="51C616E0"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Valentine </w:t>
      </w:r>
      <w:proofErr w:type="spellStart"/>
      <w:r>
        <w:rPr>
          <w:rFonts w:ascii="Times New Roman" w:eastAsia="Times New Roman" w:hAnsi="Times New Roman" w:cs="Times New Roman"/>
        </w:rPr>
        <w:t>Sinduria</w:t>
      </w:r>
      <w:proofErr w:type="spellEnd"/>
    </w:p>
    <w:p w14:paraId="37687414"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Staff</w:t>
      </w:r>
    </w:p>
    <w:p w14:paraId="3D3A01E7"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Research Department</w:t>
      </w:r>
    </w:p>
    <w:p w14:paraId="7567BE33"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Indian Social Institute, New Delhi, India</w:t>
      </w:r>
    </w:p>
    <w:p w14:paraId="27F8AF14"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Mob. 9789844871</w:t>
      </w:r>
    </w:p>
    <w:p w14:paraId="0A61522F"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email. Id. </w:t>
      </w:r>
      <w:hyperlink r:id="rId50">
        <w:r w:rsidR="003934E1">
          <w:rPr>
            <w:rFonts w:ascii="Times New Roman" w:eastAsia="Times New Roman" w:hAnsi="Times New Roman" w:cs="Times New Roman"/>
            <w:color w:val="0000FF"/>
            <w:u w:val="single"/>
          </w:rPr>
          <w:t>valensinduria@gmail.com</w:t>
        </w:r>
      </w:hyperlink>
    </w:p>
    <w:p w14:paraId="529A863A"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&amp;</w:t>
      </w:r>
    </w:p>
    <w:p w14:paraId="0D1C3EE8"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Jyoti </w:t>
      </w:r>
      <w:proofErr w:type="spellStart"/>
      <w:r>
        <w:rPr>
          <w:rFonts w:ascii="Times New Roman" w:eastAsia="Times New Roman" w:hAnsi="Times New Roman" w:cs="Times New Roman"/>
        </w:rPr>
        <w:t>Lugun</w:t>
      </w:r>
      <w:proofErr w:type="spellEnd"/>
    </w:p>
    <w:p w14:paraId="0FA609F9"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Assistant Teacher</w:t>
      </w:r>
    </w:p>
    <w:p w14:paraId="6FD95811"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St. Robert`s High School</w:t>
      </w:r>
    </w:p>
    <w:p w14:paraId="00147060"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Jamshedpur, India</w:t>
      </w:r>
    </w:p>
    <w:p w14:paraId="2B27D171"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Mob. 7091417682</w:t>
      </w:r>
    </w:p>
    <w:p w14:paraId="319AA93B"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email. Id. </w:t>
      </w:r>
      <w:hyperlink r:id="rId51">
        <w:r w:rsidR="003934E1">
          <w:rPr>
            <w:rFonts w:ascii="Times New Roman" w:eastAsia="Times New Roman" w:hAnsi="Times New Roman" w:cs="Times New Roman"/>
            <w:color w:val="0000FF"/>
            <w:u w:val="single"/>
          </w:rPr>
          <w:t>Lugunjyoti417@gmail.com</w:t>
        </w:r>
      </w:hyperlink>
    </w:p>
    <w:p w14:paraId="155B00FF" w14:textId="77777777" w:rsidR="003934E1" w:rsidRDefault="003934E1">
      <w:pPr>
        <w:spacing w:after="200" w:line="360" w:lineRule="auto"/>
        <w:jc w:val="both"/>
        <w:rPr>
          <w:rFonts w:ascii="Times New Roman" w:eastAsia="Times New Roman" w:hAnsi="Times New Roman" w:cs="Times New Roman"/>
        </w:rPr>
      </w:pPr>
    </w:p>
    <w:p w14:paraId="5F41F1D4"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Birsa Munda was a legendary </w:t>
      </w:r>
      <w:r>
        <w:rPr>
          <w:rFonts w:ascii="Times New Roman" w:eastAsia="Times New Roman" w:hAnsi="Times New Roman" w:cs="Times New Roman"/>
          <w:i/>
        </w:rPr>
        <w:t>Adivasi</w:t>
      </w:r>
      <w:r>
        <w:rPr>
          <w:rFonts w:ascii="Times New Roman" w:eastAsia="Times New Roman" w:hAnsi="Times New Roman" w:cs="Times New Roman"/>
        </w:rPr>
        <w:t xml:space="preserve"> freedom fighter of India. He hailed from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region of India.  He was born on 15 November, 1875. He is the symbol of resistance, courage, freedom and </w:t>
      </w:r>
      <w:r>
        <w:rPr>
          <w:rFonts w:ascii="Times New Roman" w:eastAsia="Times New Roman" w:hAnsi="Times New Roman" w:cs="Times New Roman"/>
          <w:i/>
        </w:rPr>
        <w:t>Adivasi</w:t>
      </w:r>
      <w:r>
        <w:rPr>
          <w:rFonts w:ascii="Times New Roman" w:eastAsia="Times New Roman" w:hAnsi="Times New Roman" w:cs="Times New Roman"/>
        </w:rPr>
        <w:t xml:space="preserve"> pride. The Adivasis revere him as </w:t>
      </w:r>
      <w:r>
        <w:rPr>
          <w:rFonts w:ascii="Times New Roman" w:eastAsia="Times New Roman" w:hAnsi="Times New Roman" w:cs="Times New Roman"/>
          <w:i/>
        </w:rPr>
        <w:t>Dharti Abba</w:t>
      </w:r>
      <w:r>
        <w:rPr>
          <w:rFonts w:ascii="Times New Roman" w:eastAsia="Times New Roman" w:hAnsi="Times New Roman" w:cs="Times New Roman"/>
        </w:rPr>
        <w:t xml:space="preserve">- the Father of the earth. He was born in an era when the </w:t>
      </w:r>
      <w:r>
        <w:rPr>
          <w:rFonts w:ascii="Times New Roman" w:eastAsia="Times New Roman" w:hAnsi="Times New Roman" w:cs="Times New Roman"/>
          <w:i/>
        </w:rPr>
        <w:t>Adivasis</w:t>
      </w:r>
      <w:r>
        <w:rPr>
          <w:rFonts w:ascii="Times New Roman" w:eastAsia="Times New Roman" w:hAnsi="Times New Roman" w:cs="Times New Roman"/>
        </w:rPr>
        <w:t xml:space="preserve"> were exploited economically, socially and politically by the British government, landlords and moneylenders. He came to know that the Munda </w:t>
      </w:r>
      <w:r>
        <w:rPr>
          <w:rFonts w:ascii="Times New Roman" w:eastAsia="Times New Roman" w:hAnsi="Times New Roman" w:cs="Times New Roman"/>
          <w:i/>
        </w:rPr>
        <w:t xml:space="preserve">Adivasis </w:t>
      </w:r>
      <w:r>
        <w:rPr>
          <w:rFonts w:ascii="Times New Roman" w:eastAsia="Times New Roman" w:hAnsi="Times New Roman" w:cs="Times New Roman"/>
        </w:rPr>
        <w:t xml:space="preserve">had been exploited since 1793 when the British Government enacted the Permanent </w:t>
      </w:r>
      <w:r>
        <w:rPr>
          <w:rFonts w:ascii="Times New Roman" w:eastAsia="Times New Roman" w:hAnsi="Times New Roman" w:cs="Times New Roman"/>
        </w:rPr>
        <w:lastRenderedPageBreak/>
        <w:t xml:space="preserve">Settlement Act (1793). The Permanent Settlement Act (1793) transformed traditional Mundari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land ownership system. The ownership of the land was transferred to landlords. In order to restore the Mundari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land ownership system he organized </w:t>
      </w:r>
      <w:proofErr w:type="spellStart"/>
      <w:r>
        <w:rPr>
          <w:rFonts w:ascii="Times New Roman" w:eastAsia="Times New Roman" w:hAnsi="Times New Roman" w:cs="Times New Roman"/>
          <w:i/>
        </w:rPr>
        <w:t>Ulgulan</w:t>
      </w:r>
      <w:proofErr w:type="spellEnd"/>
      <w:r>
        <w:rPr>
          <w:rFonts w:ascii="Times New Roman" w:eastAsia="Times New Roman" w:hAnsi="Times New Roman" w:cs="Times New Roman"/>
        </w:rPr>
        <w:t xml:space="preserve">- the Munda rebellion against the British government, landlords and moneylenders in late 1890`s. The </w:t>
      </w:r>
      <w:proofErr w:type="spellStart"/>
      <w:r>
        <w:rPr>
          <w:rFonts w:ascii="Times New Roman" w:eastAsia="Times New Roman" w:hAnsi="Times New Roman" w:cs="Times New Roman"/>
          <w:i/>
        </w:rPr>
        <w:t>Ulgulan</w:t>
      </w:r>
      <w:proofErr w:type="spellEnd"/>
      <w:r>
        <w:rPr>
          <w:rFonts w:ascii="Times New Roman" w:eastAsia="Times New Roman" w:hAnsi="Times New Roman" w:cs="Times New Roman"/>
        </w:rPr>
        <w:t xml:space="preserve"> was also organized</w:t>
      </w:r>
      <w:r>
        <w:rPr>
          <w:rFonts w:ascii="Times New Roman" w:eastAsia="Times New Roman" w:hAnsi="Times New Roman" w:cs="Times New Roman"/>
          <w:i/>
        </w:rPr>
        <w:t xml:space="preserve"> </w:t>
      </w:r>
      <w:r>
        <w:rPr>
          <w:rFonts w:ascii="Times New Roman" w:eastAsia="Times New Roman" w:hAnsi="Times New Roman" w:cs="Times New Roman"/>
        </w:rPr>
        <w:t xml:space="preserve">against the oppressions of the British colonials, landlords and moneylenders. He fought to protect the </w:t>
      </w:r>
      <w:r>
        <w:rPr>
          <w:rFonts w:ascii="Times New Roman" w:eastAsia="Times New Roman" w:hAnsi="Times New Roman" w:cs="Times New Roman"/>
          <w:i/>
        </w:rPr>
        <w:t>Jal, Jungle and Jameen</w:t>
      </w:r>
      <w:r>
        <w:rPr>
          <w:rFonts w:ascii="Times New Roman" w:eastAsia="Times New Roman" w:hAnsi="Times New Roman" w:cs="Times New Roman"/>
        </w:rPr>
        <w:t>- Land, Forest and Water</w:t>
      </w:r>
      <w:r>
        <w:rPr>
          <w:rFonts w:ascii="Times New Roman" w:eastAsia="Times New Roman" w:hAnsi="Times New Roman" w:cs="Times New Roman"/>
          <w:i/>
        </w:rPr>
        <w:t xml:space="preserve"> </w:t>
      </w:r>
      <w:r>
        <w:rPr>
          <w:rFonts w:ascii="Times New Roman" w:eastAsia="Times New Roman" w:hAnsi="Times New Roman" w:cs="Times New Roman"/>
        </w:rPr>
        <w:t xml:space="preserve">of the </w:t>
      </w:r>
      <w:r>
        <w:rPr>
          <w:rFonts w:ascii="Times New Roman" w:eastAsia="Times New Roman" w:hAnsi="Times New Roman" w:cs="Times New Roman"/>
          <w:i/>
        </w:rPr>
        <w:t>Adivasis</w:t>
      </w:r>
      <w:r>
        <w:rPr>
          <w:rFonts w:ascii="Times New Roman" w:eastAsia="Times New Roman" w:hAnsi="Times New Roman" w:cs="Times New Roman"/>
        </w:rPr>
        <w:t xml:space="preserve">. He fought to protect the </w:t>
      </w:r>
      <w:r>
        <w:rPr>
          <w:rFonts w:ascii="Times New Roman" w:eastAsia="Times New Roman" w:hAnsi="Times New Roman" w:cs="Times New Roman"/>
          <w:i/>
        </w:rPr>
        <w:t>Adivasi</w:t>
      </w:r>
      <w:r>
        <w:rPr>
          <w:rFonts w:ascii="Times New Roman" w:eastAsia="Times New Roman" w:hAnsi="Times New Roman" w:cs="Times New Roman"/>
        </w:rPr>
        <w:t xml:space="preserve"> culture, traditions, identity and existence. He dreamt of the idea of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Disum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Raij</w:t>
      </w:r>
      <w:r>
        <w:rPr>
          <w:rFonts w:ascii="Times New Roman" w:eastAsia="Times New Roman" w:hAnsi="Times New Roman" w:cs="Times New Roman"/>
        </w:rPr>
        <w:t xml:space="preserve">- We must rule ourselves in our own country. He gave a new direction to the </w:t>
      </w:r>
      <w:r>
        <w:rPr>
          <w:rFonts w:ascii="Times New Roman" w:eastAsia="Times New Roman" w:hAnsi="Times New Roman" w:cs="Times New Roman"/>
          <w:i/>
        </w:rPr>
        <w:t>Adivasis</w:t>
      </w:r>
      <w:r>
        <w:rPr>
          <w:rFonts w:ascii="Times New Roman" w:eastAsia="Times New Roman" w:hAnsi="Times New Roman" w:cs="Times New Roman"/>
        </w:rPr>
        <w:t xml:space="preserve">. He was martyred in 1900. His martyrdom brought a new era for the </w:t>
      </w:r>
      <w:r>
        <w:rPr>
          <w:rFonts w:ascii="Times New Roman" w:eastAsia="Times New Roman" w:hAnsi="Times New Roman" w:cs="Times New Roman"/>
          <w:i/>
        </w:rPr>
        <w:t xml:space="preserve">Adivasis </w:t>
      </w:r>
      <w:r>
        <w:rPr>
          <w:rFonts w:ascii="Times New Roman" w:eastAsia="Times New Roman" w:hAnsi="Times New Roman" w:cs="Times New Roman"/>
        </w:rPr>
        <w:t xml:space="preserve">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In response to his martyrdom the British Government enacted 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 (CNT Act 1908) to protect the </w:t>
      </w:r>
      <w:r>
        <w:rPr>
          <w:rFonts w:ascii="Times New Roman" w:eastAsia="Times New Roman" w:hAnsi="Times New Roman" w:cs="Times New Roman"/>
          <w:i/>
        </w:rPr>
        <w:t>Jal, Jungle and Jameen</w:t>
      </w:r>
      <w:r>
        <w:rPr>
          <w:rFonts w:ascii="Times New Roman" w:eastAsia="Times New Roman" w:hAnsi="Times New Roman" w:cs="Times New Roman"/>
        </w:rPr>
        <w:t xml:space="preserve"> of the </w:t>
      </w:r>
      <w:r>
        <w:rPr>
          <w:rFonts w:ascii="Times New Roman" w:eastAsia="Times New Roman" w:hAnsi="Times New Roman" w:cs="Times New Roman"/>
          <w:i/>
        </w:rPr>
        <w:t>Adivasis</w:t>
      </w:r>
      <w:r>
        <w:rPr>
          <w:rFonts w:ascii="Times New Roman" w:eastAsia="Times New Roman" w:hAnsi="Times New Roman" w:cs="Times New Roman"/>
        </w:rPr>
        <w:t xml:space="preserve"> in 1908. It is a very important land law. It is a protective cover for the </w:t>
      </w:r>
      <w:r>
        <w:rPr>
          <w:rFonts w:ascii="Times New Roman" w:eastAsia="Times New Roman" w:hAnsi="Times New Roman" w:cs="Times New Roman"/>
          <w:i/>
        </w:rPr>
        <w:t>Jal, Jungle and Jameen</w:t>
      </w:r>
      <w:r>
        <w:rPr>
          <w:rFonts w:ascii="Times New Roman" w:eastAsia="Times New Roman" w:hAnsi="Times New Roman" w:cs="Times New Roman"/>
        </w:rPr>
        <w:t xml:space="preserve"> of the </w:t>
      </w:r>
      <w:r>
        <w:rPr>
          <w:rFonts w:ascii="Times New Roman" w:eastAsia="Times New Roman" w:hAnsi="Times New Roman" w:cs="Times New Roman"/>
          <w:i/>
        </w:rPr>
        <w:t>Adivasis</w:t>
      </w:r>
      <w:r>
        <w:rPr>
          <w:rFonts w:ascii="Times New Roman" w:eastAsia="Times New Roman" w:hAnsi="Times New Roman" w:cs="Times New Roman"/>
        </w:rPr>
        <w:t xml:space="preserve">. This law prohibits the transfer of the </w:t>
      </w:r>
      <w:r>
        <w:rPr>
          <w:rFonts w:ascii="Times New Roman" w:eastAsia="Times New Roman" w:hAnsi="Times New Roman" w:cs="Times New Roman"/>
          <w:i/>
        </w:rPr>
        <w:t>Adivasi</w:t>
      </w:r>
      <w:r>
        <w:rPr>
          <w:rFonts w:ascii="Times New Roman" w:eastAsia="Times New Roman" w:hAnsi="Times New Roman" w:cs="Times New Roman"/>
        </w:rPr>
        <w:t xml:space="preserve"> land to a non- </w:t>
      </w:r>
      <w:r>
        <w:rPr>
          <w:rFonts w:ascii="Times New Roman" w:eastAsia="Times New Roman" w:hAnsi="Times New Roman" w:cs="Times New Roman"/>
          <w:i/>
        </w:rPr>
        <w:t>Adivasi</w:t>
      </w:r>
      <w:r>
        <w:rPr>
          <w:rFonts w:ascii="Times New Roman" w:eastAsia="Times New Roman" w:hAnsi="Times New Roman" w:cs="Times New Roman"/>
        </w:rPr>
        <w:t xml:space="preserve">. It was the restoration of the Mundari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land ownership system. This could be seen as the first step in the realization of the idea of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Disum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Raij. </w:t>
      </w:r>
      <w:r>
        <w:rPr>
          <w:rFonts w:ascii="Times New Roman" w:eastAsia="Times New Roman" w:hAnsi="Times New Roman" w:cs="Times New Roman"/>
        </w:rPr>
        <w:t xml:space="preserve">However, the idea of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Disum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Raij </w:t>
      </w:r>
      <w:r>
        <w:rPr>
          <w:rFonts w:ascii="Times New Roman" w:eastAsia="Times New Roman" w:hAnsi="Times New Roman" w:cs="Times New Roman"/>
        </w:rPr>
        <w:t>was neither realized in the colonial era nor in the post- colonial era. The government seems to have taken no affirmative actions to protect</w:t>
      </w:r>
      <w:r>
        <w:rPr>
          <w:rFonts w:ascii="Times New Roman" w:eastAsia="Times New Roman" w:hAnsi="Times New Roman" w:cs="Times New Roman"/>
          <w:i/>
        </w:rPr>
        <w:t xml:space="preserve"> Jal, Jungle and Jameen</w:t>
      </w:r>
      <w:r>
        <w:rPr>
          <w:rFonts w:ascii="Times New Roman" w:eastAsia="Times New Roman" w:hAnsi="Times New Roman" w:cs="Times New Roman"/>
        </w:rPr>
        <w:t xml:space="preserve"> of the </w:t>
      </w:r>
      <w:r>
        <w:rPr>
          <w:rFonts w:ascii="Times New Roman" w:eastAsia="Times New Roman" w:hAnsi="Times New Roman" w:cs="Times New Roman"/>
          <w:i/>
        </w:rPr>
        <w:t>Adivasis</w:t>
      </w:r>
      <w:r>
        <w:rPr>
          <w:rFonts w:ascii="Times New Roman" w:eastAsia="Times New Roman" w:hAnsi="Times New Roman" w:cs="Times New Roman"/>
        </w:rPr>
        <w:t xml:space="preserve">. Even in the presence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 (CNT Act 1908), the</w:t>
      </w:r>
      <w:r>
        <w:rPr>
          <w:rFonts w:ascii="Times New Roman" w:eastAsia="Times New Roman" w:hAnsi="Times New Roman" w:cs="Times New Roman"/>
          <w:i/>
        </w:rPr>
        <w:t xml:space="preserve"> Jal, Jungle and Jameen</w:t>
      </w:r>
      <w:r>
        <w:rPr>
          <w:rFonts w:ascii="Times New Roman" w:eastAsia="Times New Roman" w:hAnsi="Times New Roman" w:cs="Times New Roman"/>
        </w:rPr>
        <w:t xml:space="preserve"> of the </w:t>
      </w:r>
      <w:r>
        <w:rPr>
          <w:rFonts w:ascii="Times New Roman" w:eastAsia="Times New Roman" w:hAnsi="Times New Roman" w:cs="Times New Roman"/>
          <w:i/>
        </w:rPr>
        <w:t>Adivasis</w:t>
      </w:r>
      <w:r>
        <w:rPr>
          <w:rFonts w:ascii="Times New Roman" w:eastAsia="Times New Roman" w:hAnsi="Times New Roman" w:cs="Times New Roman"/>
        </w:rPr>
        <w:t xml:space="preserve"> are being looted. The </w:t>
      </w:r>
      <w:r>
        <w:rPr>
          <w:rFonts w:ascii="Times New Roman" w:eastAsia="Times New Roman" w:hAnsi="Times New Roman" w:cs="Times New Roman"/>
          <w:i/>
        </w:rPr>
        <w:t>Adivasis</w:t>
      </w:r>
      <w:r>
        <w:rPr>
          <w:rFonts w:ascii="Times New Roman" w:eastAsia="Times New Roman" w:hAnsi="Times New Roman" w:cs="Times New Roman"/>
        </w:rPr>
        <w:t xml:space="preserve"> are still the victims of political, social, economic, ethnic, linguistic and cultural exploitations. They are the victims of displacement. They are the victims of poverty, unemployment and educational backwardness. The present paper attempts to explore the legacy of Birsa Munda, the drafting, enactment, importance and relevance of 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 (CNT Act 1908) and the reasons for the success and failures of the dream of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Disum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Raij. </w:t>
      </w:r>
    </w:p>
    <w:p w14:paraId="7FE73EE2" w14:textId="77777777" w:rsidR="003934E1" w:rsidRDefault="003934E1">
      <w:pPr>
        <w:spacing w:after="200" w:line="360" w:lineRule="auto"/>
        <w:jc w:val="both"/>
        <w:rPr>
          <w:rFonts w:ascii="Times New Roman" w:eastAsia="Times New Roman" w:hAnsi="Times New Roman" w:cs="Times New Roman"/>
        </w:rPr>
      </w:pPr>
    </w:p>
    <w:p w14:paraId="65646161"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b/>
        </w:rPr>
        <w:t>Key words</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w:t>
      </w:r>
      <w:r>
        <w:rPr>
          <w:rFonts w:ascii="Times New Roman" w:eastAsia="Times New Roman" w:hAnsi="Times New Roman" w:cs="Times New Roman"/>
          <w:i/>
        </w:rPr>
        <w:t>Adivasi</w:t>
      </w:r>
      <w:r>
        <w:rPr>
          <w:rFonts w:ascii="Times New Roman" w:eastAsia="Times New Roman" w:hAnsi="Times New Roman" w:cs="Times New Roman"/>
        </w:rPr>
        <w:t xml:space="preserve">, </w:t>
      </w:r>
      <w:r>
        <w:rPr>
          <w:rFonts w:ascii="Times New Roman" w:eastAsia="Times New Roman" w:hAnsi="Times New Roman" w:cs="Times New Roman"/>
          <w:i/>
        </w:rPr>
        <w:t>Disum</w:t>
      </w:r>
      <w:r>
        <w:rPr>
          <w:rFonts w:ascii="Times New Roman" w:eastAsia="Times New Roman" w:hAnsi="Times New Roman" w:cs="Times New Roman"/>
        </w:rPr>
        <w:t xml:space="preserve">, CNT Act, </w:t>
      </w:r>
      <w:proofErr w:type="spellStart"/>
      <w:r>
        <w:rPr>
          <w:rFonts w:ascii="Times New Roman" w:eastAsia="Times New Roman" w:hAnsi="Times New Roman" w:cs="Times New Roman"/>
          <w:i/>
        </w:rPr>
        <w:t>Ulgulan</w:t>
      </w:r>
      <w:proofErr w:type="spellEnd"/>
      <w:r>
        <w:rPr>
          <w:rFonts w:ascii="Times New Roman" w:eastAsia="Times New Roman" w:hAnsi="Times New Roman" w:cs="Times New Roman"/>
        </w:rPr>
        <w:t>.</w:t>
      </w:r>
    </w:p>
    <w:p w14:paraId="56F8BB0D" w14:textId="77777777" w:rsidR="003934E1" w:rsidRDefault="003934E1">
      <w:pPr>
        <w:spacing w:after="200" w:line="276" w:lineRule="auto"/>
        <w:rPr>
          <w:rFonts w:ascii="Calibri" w:eastAsia="Calibri" w:hAnsi="Calibri" w:cs="Calibri"/>
          <w:sz w:val="22"/>
          <w:szCs w:val="22"/>
        </w:rPr>
      </w:pPr>
    </w:p>
    <w:p w14:paraId="1F2CC262" w14:textId="77777777" w:rsidR="003934E1" w:rsidRDefault="00000000">
      <w:pPr>
        <w:spacing w:after="200"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rPr>
        <w:t xml:space="preserve"> </w:t>
      </w:r>
      <w:r>
        <w:rPr>
          <w:rFonts w:ascii="Times New Roman" w:eastAsia="Times New Roman" w:hAnsi="Times New Roman" w:cs="Times New Roman"/>
          <w:b/>
          <w:sz w:val="28"/>
          <w:szCs w:val="28"/>
        </w:rPr>
        <w:t xml:space="preserve">A Critical Analysis of Birsa Munda`s Dream of </w:t>
      </w:r>
      <w:proofErr w:type="spellStart"/>
      <w:r>
        <w:rPr>
          <w:rFonts w:ascii="Times New Roman" w:eastAsia="Times New Roman" w:hAnsi="Times New Roman" w:cs="Times New Roman"/>
          <w:b/>
          <w:i/>
          <w:sz w:val="28"/>
          <w:szCs w:val="28"/>
        </w:rPr>
        <w:t>Abua</w:t>
      </w:r>
      <w:proofErr w:type="spellEnd"/>
      <w:r>
        <w:rPr>
          <w:rFonts w:ascii="Times New Roman" w:eastAsia="Times New Roman" w:hAnsi="Times New Roman" w:cs="Times New Roman"/>
          <w:b/>
          <w:i/>
          <w:sz w:val="28"/>
          <w:szCs w:val="28"/>
        </w:rPr>
        <w:t xml:space="preserve"> Disum-</w:t>
      </w:r>
      <w:proofErr w:type="spellStart"/>
      <w:r>
        <w:rPr>
          <w:rFonts w:ascii="Times New Roman" w:eastAsia="Times New Roman" w:hAnsi="Times New Roman" w:cs="Times New Roman"/>
          <w:b/>
          <w:i/>
          <w:sz w:val="28"/>
          <w:szCs w:val="28"/>
        </w:rPr>
        <w:t>Abua</w:t>
      </w:r>
      <w:proofErr w:type="spellEnd"/>
      <w:r>
        <w:rPr>
          <w:rFonts w:ascii="Times New Roman" w:eastAsia="Times New Roman" w:hAnsi="Times New Roman" w:cs="Times New Roman"/>
          <w:b/>
          <w:i/>
          <w:sz w:val="28"/>
          <w:szCs w:val="28"/>
        </w:rPr>
        <w:t xml:space="preserve"> Raij</w:t>
      </w:r>
    </w:p>
    <w:p w14:paraId="1329E938" w14:textId="77777777" w:rsidR="003934E1" w:rsidRDefault="003934E1">
      <w:pPr>
        <w:spacing w:after="200" w:line="360" w:lineRule="auto"/>
        <w:jc w:val="both"/>
        <w:rPr>
          <w:rFonts w:ascii="Times New Roman" w:eastAsia="Times New Roman" w:hAnsi="Times New Roman" w:cs="Times New Roman"/>
        </w:rPr>
      </w:pPr>
    </w:p>
    <w:p w14:paraId="49E4C4FD"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Valentine </w:t>
      </w:r>
      <w:proofErr w:type="spellStart"/>
      <w:r>
        <w:rPr>
          <w:rFonts w:ascii="Times New Roman" w:eastAsia="Times New Roman" w:hAnsi="Times New Roman" w:cs="Times New Roman"/>
        </w:rPr>
        <w:t>Sinduria</w:t>
      </w:r>
      <w:proofErr w:type="spellEnd"/>
    </w:p>
    <w:p w14:paraId="6865E7DD"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Staff</w:t>
      </w:r>
    </w:p>
    <w:p w14:paraId="287CEDD7"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Research Department</w:t>
      </w:r>
    </w:p>
    <w:p w14:paraId="5BBD21CD"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Indian Social Institute, New Delhi, India</w:t>
      </w:r>
    </w:p>
    <w:p w14:paraId="01C6A75E"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Mob. 9789844871</w:t>
      </w:r>
    </w:p>
    <w:p w14:paraId="3D0F7839"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email. Id. </w:t>
      </w:r>
      <w:hyperlink r:id="rId52">
        <w:r w:rsidR="003934E1">
          <w:rPr>
            <w:rFonts w:ascii="Times New Roman" w:eastAsia="Times New Roman" w:hAnsi="Times New Roman" w:cs="Times New Roman"/>
            <w:color w:val="0000FF"/>
            <w:u w:val="single"/>
          </w:rPr>
          <w:t>valensinduria@gmail.com</w:t>
        </w:r>
      </w:hyperlink>
    </w:p>
    <w:p w14:paraId="1583E998"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&amp;</w:t>
      </w:r>
    </w:p>
    <w:p w14:paraId="00A53042"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Jyoti </w:t>
      </w:r>
      <w:proofErr w:type="spellStart"/>
      <w:r>
        <w:rPr>
          <w:rFonts w:ascii="Times New Roman" w:eastAsia="Times New Roman" w:hAnsi="Times New Roman" w:cs="Times New Roman"/>
        </w:rPr>
        <w:t>Lugun</w:t>
      </w:r>
      <w:proofErr w:type="spellEnd"/>
    </w:p>
    <w:p w14:paraId="5C3904C1"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Assistant Teacher</w:t>
      </w:r>
    </w:p>
    <w:p w14:paraId="12784379"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St. Robert`s High School</w:t>
      </w:r>
    </w:p>
    <w:p w14:paraId="2AC1325B"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Jamshedpur, India</w:t>
      </w:r>
    </w:p>
    <w:p w14:paraId="50B585C7"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Mob. 7091417682</w:t>
      </w:r>
    </w:p>
    <w:p w14:paraId="5EDA1063"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email. Id. </w:t>
      </w:r>
      <w:hyperlink r:id="rId53">
        <w:r w:rsidR="003934E1">
          <w:rPr>
            <w:rFonts w:ascii="Times New Roman" w:eastAsia="Times New Roman" w:hAnsi="Times New Roman" w:cs="Times New Roman"/>
            <w:color w:val="0000FF"/>
            <w:u w:val="single"/>
          </w:rPr>
          <w:t>Lugunjyoti417@gmail.com</w:t>
        </w:r>
      </w:hyperlink>
    </w:p>
    <w:p w14:paraId="6EB391C9" w14:textId="77777777" w:rsidR="003934E1" w:rsidRDefault="003934E1">
      <w:pPr>
        <w:spacing w:after="200" w:line="360" w:lineRule="auto"/>
        <w:jc w:val="both"/>
        <w:rPr>
          <w:rFonts w:ascii="Times New Roman" w:eastAsia="Times New Roman" w:hAnsi="Times New Roman" w:cs="Times New Roman"/>
        </w:rPr>
      </w:pPr>
    </w:p>
    <w:p w14:paraId="79ECB477" w14:textId="77777777" w:rsidR="003934E1" w:rsidRDefault="00000000">
      <w:pPr>
        <w:spacing w:after="200" w:line="360" w:lineRule="auto"/>
        <w:jc w:val="both"/>
        <w:rPr>
          <w:rFonts w:ascii="Times New Roman" w:eastAsia="Times New Roman" w:hAnsi="Times New Roman" w:cs="Times New Roman"/>
          <w:b/>
        </w:rPr>
      </w:pPr>
      <w:r>
        <w:rPr>
          <w:rFonts w:ascii="Times New Roman" w:eastAsia="Times New Roman" w:hAnsi="Times New Roman" w:cs="Times New Roman"/>
          <w:b/>
        </w:rPr>
        <w:t>Introduction</w:t>
      </w:r>
    </w:p>
    <w:p w14:paraId="08D44161" w14:textId="77777777" w:rsidR="003934E1" w:rsidRDefault="00000000">
      <w:pPr>
        <w:spacing w:after="200" w:line="360" w:lineRule="auto"/>
        <w:jc w:val="both"/>
        <w:rPr>
          <w:rFonts w:ascii="Times New Roman" w:eastAsia="Times New Roman" w:hAnsi="Times New Roman" w:cs="Times New Roman"/>
          <w:i/>
        </w:rPr>
      </w:pPr>
      <w:r>
        <w:rPr>
          <w:rFonts w:ascii="Times New Roman" w:eastAsia="Times New Roman" w:hAnsi="Times New Roman" w:cs="Times New Roman"/>
        </w:rPr>
        <w:t xml:space="preserve">The Adivasis are described as the original settlers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The Adivasi land system is different from the Aryan land system. The Adivasi land system is a part of the total Adivasi social system. The Mundari land system is known as </w:t>
      </w:r>
      <w:proofErr w:type="spellStart"/>
      <w:r>
        <w:rPr>
          <w:rFonts w:ascii="Times New Roman" w:eastAsia="Times New Roman" w:hAnsi="Times New Roman" w:cs="Times New Roman"/>
        </w:rPr>
        <w:t>Khuntkatti</w:t>
      </w:r>
      <w:proofErr w:type="spellEnd"/>
      <w:r>
        <w:rPr>
          <w:rFonts w:ascii="Times New Roman" w:eastAsia="Times New Roman" w:hAnsi="Times New Roman" w:cs="Times New Roman"/>
        </w:rPr>
        <w:t xml:space="preserve"> land system. However, in the medieval period with the rise of the feudal state system the Adivasis land system in general and the Mundari </w:t>
      </w:r>
      <w:proofErr w:type="spellStart"/>
      <w:r>
        <w:rPr>
          <w:rFonts w:ascii="Times New Roman" w:eastAsia="Times New Roman" w:hAnsi="Times New Roman" w:cs="Times New Roman"/>
        </w:rPr>
        <w:t>Khuntkatti</w:t>
      </w:r>
      <w:proofErr w:type="spellEnd"/>
      <w:r>
        <w:rPr>
          <w:rFonts w:ascii="Times New Roman" w:eastAsia="Times New Roman" w:hAnsi="Times New Roman" w:cs="Times New Roman"/>
        </w:rPr>
        <w:t xml:space="preserve"> land system began to disintegrate under the pressure of the influx of the non-Adivasis. The Raja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invited the non-Adivasis to settle on and cultivate the land in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When the Raja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was </w:t>
      </w:r>
      <w:proofErr w:type="spellStart"/>
      <w:r>
        <w:rPr>
          <w:rFonts w:ascii="Times New Roman" w:eastAsia="Times New Roman" w:hAnsi="Times New Roman" w:cs="Times New Roman"/>
        </w:rPr>
        <w:t>hinduised</w:t>
      </w:r>
      <w:proofErr w:type="spellEnd"/>
      <w:r>
        <w:rPr>
          <w:rFonts w:ascii="Times New Roman" w:eastAsia="Times New Roman" w:hAnsi="Times New Roman" w:cs="Times New Roman"/>
        </w:rPr>
        <w:t xml:space="preserve"> through intermarriage he began to act like a Maharaja. He gathered around himself as courtiers the non-Adivasis of Bihar and the Central Provinces. He granted them several villages as </w:t>
      </w:r>
      <w:r>
        <w:rPr>
          <w:rFonts w:ascii="Times New Roman" w:eastAsia="Times New Roman" w:hAnsi="Times New Roman" w:cs="Times New Roman"/>
          <w:i/>
        </w:rPr>
        <w:t>jagirs</w:t>
      </w:r>
      <w:r>
        <w:rPr>
          <w:rFonts w:ascii="Times New Roman" w:eastAsia="Times New Roman" w:hAnsi="Times New Roman" w:cs="Times New Roman"/>
        </w:rPr>
        <w:t xml:space="preserve">. The influx of the non-Adivasis was accelerated into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under the British administration. The colonial system brought the Adivasis within the network of the new policy and administration. It imposed a new system of taxation on their land. The new classes of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and </w:t>
      </w:r>
      <w:r>
        <w:rPr>
          <w:rFonts w:ascii="Times New Roman" w:eastAsia="Times New Roman" w:hAnsi="Times New Roman" w:cs="Times New Roman"/>
          <w:i/>
        </w:rPr>
        <w:t>jagirdars</w:t>
      </w:r>
      <w:r>
        <w:rPr>
          <w:rFonts w:ascii="Times New Roman" w:eastAsia="Times New Roman" w:hAnsi="Times New Roman" w:cs="Times New Roman"/>
        </w:rPr>
        <w:t xml:space="preserve"> came into existence.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and the </w:t>
      </w:r>
      <w:r>
        <w:rPr>
          <w:rFonts w:ascii="Times New Roman" w:eastAsia="Times New Roman" w:hAnsi="Times New Roman" w:cs="Times New Roman"/>
          <w:i/>
        </w:rPr>
        <w:t>jagirdars</w:t>
      </w:r>
      <w:r>
        <w:rPr>
          <w:rFonts w:ascii="Times New Roman" w:eastAsia="Times New Roman" w:hAnsi="Times New Roman" w:cs="Times New Roman"/>
        </w:rPr>
        <w:t xml:space="preserve"> took possession of </w:t>
      </w:r>
      <w:proofErr w:type="spellStart"/>
      <w:r>
        <w:rPr>
          <w:rFonts w:ascii="Times New Roman" w:eastAsia="Times New Roman" w:hAnsi="Times New Roman" w:cs="Times New Roman"/>
        </w:rPr>
        <w:lastRenderedPageBreak/>
        <w:t>Khuntkatti</w:t>
      </w:r>
      <w:proofErr w:type="spellEnd"/>
      <w:r>
        <w:rPr>
          <w:rFonts w:ascii="Times New Roman" w:eastAsia="Times New Roman" w:hAnsi="Times New Roman" w:cs="Times New Roman"/>
        </w:rPr>
        <w:t xml:space="preserve"> land of the Adivasis in general and of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in particular. The Adivasi agrarian system was broken down. The Mundari </w:t>
      </w:r>
      <w:proofErr w:type="spellStart"/>
      <w:r>
        <w:rPr>
          <w:rFonts w:ascii="Times New Roman" w:eastAsia="Times New Roman" w:hAnsi="Times New Roman" w:cs="Times New Roman"/>
        </w:rPr>
        <w:t>Khuntkatti</w:t>
      </w:r>
      <w:proofErr w:type="spellEnd"/>
      <w:r>
        <w:rPr>
          <w:rFonts w:ascii="Times New Roman" w:eastAsia="Times New Roman" w:hAnsi="Times New Roman" w:cs="Times New Roman"/>
        </w:rPr>
        <w:t xml:space="preserve"> land system was broken down. The </w:t>
      </w:r>
      <w:r>
        <w:rPr>
          <w:rFonts w:ascii="Times New Roman" w:eastAsia="Times New Roman" w:hAnsi="Times New Roman" w:cs="Times New Roman"/>
          <w:i/>
        </w:rPr>
        <w:t xml:space="preserve">zamindari </w:t>
      </w:r>
      <w:r>
        <w:rPr>
          <w:rFonts w:ascii="Times New Roman" w:eastAsia="Times New Roman" w:hAnsi="Times New Roman" w:cs="Times New Roman"/>
        </w:rPr>
        <w:t xml:space="preserve">system was introduced in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The Adivasis were subjected to </w:t>
      </w:r>
      <w:proofErr w:type="spellStart"/>
      <w:r>
        <w:rPr>
          <w:rFonts w:ascii="Times New Roman" w:eastAsia="Times New Roman" w:hAnsi="Times New Roman" w:cs="Times New Roman"/>
          <w:i/>
        </w:rPr>
        <w:t>beth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begari</w:t>
      </w:r>
      <w:proofErr w:type="spellEnd"/>
      <w:r>
        <w:rPr>
          <w:rFonts w:ascii="Times New Roman" w:eastAsia="Times New Roman" w:hAnsi="Times New Roman" w:cs="Times New Roman"/>
        </w:rPr>
        <w:t xml:space="preserve"> in the new </w:t>
      </w:r>
      <w:r>
        <w:rPr>
          <w:rFonts w:ascii="Times New Roman" w:eastAsia="Times New Roman" w:hAnsi="Times New Roman" w:cs="Times New Roman"/>
          <w:i/>
        </w:rPr>
        <w:t xml:space="preserve">zamindari </w:t>
      </w:r>
      <w:r>
        <w:rPr>
          <w:rFonts w:ascii="Times New Roman" w:eastAsia="Times New Roman" w:hAnsi="Times New Roman" w:cs="Times New Roman"/>
        </w:rPr>
        <w:t xml:space="preserve">system. This infuriated the Adivasis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as a whole and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in particular. As a result, there were three uprisings of the Adivasis in 1811, 1820 and 1832. However, the British administration failed to take lessons from these uprisings. The social, political and economic exploitation of the Adivasis by the </w:t>
      </w:r>
      <w:r>
        <w:rPr>
          <w:rFonts w:ascii="Times New Roman" w:eastAsia="Times New Roman" w:hAnsi="Times New Roman" w:cs="Times New Roman"/>
          <w:i/>
        </w:rPr>
        <w:t xml:space="preserve">jagirdars,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i/>
        </w:rPr>
        <w:t>, zamindars</w:t>
      </w:r>
      <w:r>
        <w:rPr>
          <w:rFonts w:ascii="Times New Roman" w:eastAsia="Times New Roman" w:hAnsi="Times New Roman" w:cs="Times New Roman"/>
        </w:rPr>
        <w:t xml:space="preserve"> and British Government continued for the second half of the 19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The transfer of the ownership of the Adivasi land to the </w:t>
      </w:r>
      <w:r>
        <w:rPr>
          <w:rFonts w:ascii="Times New Roman" w:eastAsia="Times New Roman" w:hAnsi="Times New Roman" w:cs="Times New Roman"/>
          <w:i/>
        </w:rPr>
        <w:t>jagirdars</w:t>
      </w:r>
      <w:r>
        <w:rPr>
          <w:rFonts w:ascii="Times New Roman" w:eastAsia="Times New Roman" w:hAnsi="Times New Roman" w:cs="Times New Roman"/>
        </w:rPr>
        <w:t xml:space="preserve"> and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continued for the second half of the 19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In this troubled time Birsa Munda appeared as the saviour of the Adivasis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He appeared as a revolutionary leader of the Adivasis in general and of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in particular. He advised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to defy the British Government telling them that the Munda Raj had commenced. In order to restore the Mundari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land ownership system he organized </w:t>
      </w:r>
      <w:proofErr w:type="spellStart"/>
      <w:r>
        <w:rPr>
          <w:rFonts w:ascii="Times New Roman" w:eastAsia="Times New Roman" w:hAnsi="Times New Roman" w:cs="Times New Roman"/>
          <w:i/>
        </w:rPr>
        <w:t>Ulgulan</w:t>
      </w:r>
      <w:proofErr w:type="spellEnd"/>
      <w:r>
        <w:rPr>
          <w:rFonts w:ascii="Times New Roman" w:eastAsia="Times New Roman" w:hAnsi="Times New Roman" w:cs="Times New Roman"/>
        </w:rPr>
        <w:t xml:space="preserve">- the Munda revolt against the British government, </w:t>
      </w:r>
      <w:r>
        <w:rPr>
          <w:rFonts w:ascii="Times New Roman" w:eastAsia="Times New Roman" w:hAnsi="Times New Roman" w:cs="Times New Roman"/>
          <w:i/>
        </w:rPr>
        <w:t xml:space="preserve">jagirdars and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in late 1890`s. He fought to protect the </w:t>
      </w:r>
      <w:r>
        <w:rPr>
          <w:rFonts w:ascii="Times New Roman" w:eastAsia="Times New Roman" w:hAnsi="Times New Roman" w:cs="Times New Roman"/>
          <w:i/>
        </w:rPr>
        <w:t>Jal, Jungle and Jameen</w:t>
      </w:r>
      <w:r>
        <w:rPr>
          <w:rFonts w:ascii="Times New Roman" w:eastAsia="Times New Roman" w:hAnsi="Times New Roman" w:cs="Times New Roman"/>
        </w:rPr>
        <w:t>- Land, Forest and Water</w:t>
      </w:r>
      <w:r>
        <w:rPr>
          <w:rFonts w:ascii="Times New Roman" w:eastAsia="Times New Roman" w:hAnsi="Times New Roman" w:cs="Times New Roman"/>
          <w:i/>
        </w:rPr>
        <w:t xml:space="preserve"> </w:t>
      </w:r>
      <w:r>
        <w:rPr>
          <w:rFonts w:ascii="Times New Roman" w:eastAsia="Times New Roman" w:hAnsi="Times New Roman" w:cs="Times New Roman"/>
        </w:rPr>
        <w:t xml:space="preserve">of the </w:t>
      </w:r>
      <w:r>
        <w:rPr>
          <w:rFonts w:ascii="Times New Roman" w:eastAsia="Times New Roman" w:hAnsi="Times New Roman" w:cs="Times New Roman"/>
          <w:i/>
        </w:rPr>
        <w:t>Adivasis</w:t>
      </w:r>
      <w:r>
        <w:rPr>
          <w:rFonts w:ascii="Times New Roman" w:eastAsia="Times New Roman" w:hAnsi="Times New Roman" w:cs="Times New Roman"/>
        </w:rPr>
        <w:t xml:space="preserve">. He fought to protect the </w:t>
      </w:r>
      <w:r>
        <w:rPr>
          <w:rFonts w:ascii="Times New Roman" w:eastAsia="Times New Roman" w:hAnsi="Times New Roman" w:cs="Times New Roman"/>
          <w:i/>
        </w:rPr>
        <w:t>Adivasi</w:t>
      </w:r>
      <w:r>
        <w:rPr>
          <w:rFonts w:ascii="Times New Roman" w:eastAsia="Times New Roman" w:hAnsi="Times New Roman" w:cs="Times New Roman"/>
        </w:rPr>
        <w:t xml:space="preserve"> culture, traditions, religion, identity and existence. He dreamt of the idea of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Disum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Raij</w:t>
      </w:r>
      <w:r>
        <w:rPr>
          <w:rFonts w:ascii="Times New Roman" w:eastAsia="Times New Roman" w:hAnsi="Times New Roman" w:cs="Times New Roman"/>
        </w:rPr>
        <w:t xml:space="preserve">- Self Rule. He was arrested on 3 February, 1900. He died in British jail on 9 June, 1900. His victorious brought a new era for the </w:t>
      </w:r>
      <w:r>
        <w:rPr>
          <w:rFonts w:ascii="Times New Roman" w:eastAsia="Times New Roman" w:hAnsi="Times New Roman" w:cs="Times New Roman"/>
          <w:i/>
        </w:rPr>
        <w:t xml:space="preserve">Adivasis </w:t>
      </w:r>
      <w:r>
        <w:rPr>
          <w:rFonts w:ascii="Times New Roman" w:eastAsia="Times New Roman" w:hAnsi="Times New Roman" w:cs="Times New Roman"/>
        </w:rPr>
        <w:t xml:space="preserve">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In response to his victorious death the British Government enacted 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 (CNT Act 1908) to protect the </w:t>
      </w:r>
      <w:r>
        <w:rPr>
          <w:rFonts w:ascii="Times New Roman" w:eastAsia="Times New Roman" w:hAnsi="Times New Roman" w:cs="Times New Roman"/>
          <w:i/>
        </w:rPr>
        <w:t>Jal, Jungle and Jameen</w:t>
      </w:r>
      <w:r>
        <w:rPr>
          <w:rFonts w:ascii="Times New Roman" w:eastAsia="Times New Roman" w:hAnsi="Times New Roman" w:cs="Times New Roman"/>
        </w:rPr>
        <w:t xml:space="preserve"> of the </w:t>
      </w:r>
      <w:r>
        <w:rPr>
          <w:rFonts w:ascii="Times New Roman" w:eastAsia="Times New Roman" w:hAnsi="Times New Roman" w:cs="Times New Roman"/>
          <w:i/>
        </w:rPr>
        <w:t>Adivasis</w:t>
      </w:r>
      <w:r>
        <w:rPr>
          <w:rFonts w:ascii="Times New Roman" w:eastAsia="Times New Roman" w:hAnsi="Times New Roman" w:cs="Times New Roman"/>
        </w:rPr>
        <w:t xml:space="preserve"> in 1908. This law prohibits the transfer of the </w:t>
      </w:r>
      <w:r>
        <w:rPr>
          <w:rFonts w:ascii="Times New Roman" w:eastAsia="Times New Roman" w:hAnsi="Times New Roman" w:cs="Times New Roman"/>
          <w:i/>
        </w:rPr>
        <w:t>Adivasi</w:t>
      </w:r>
      <w:r>
        <w:rPr>
          <w:rFonts w:ascii="Times New Roman" w:eastAsia="Times New Roman" w:hAnsi="Times New Roman" w:cs="Times New Roman"/>
        </w:rPr>
        <w:t xml:space="preserve"> land to a non- </w:t>
      </w:r>
      <w:r>
        <w:rPr>
          <w:rFonts w:ascii="Times New Roman" w:eastAsia="Times New Roman" w:hAnsi="Times New Roman" w:cs="Times New Roman"/>
          <w:i/>
        </w:rPr>
        <w:t>Adivasi</w:t>
      </w:r>
      <w:r>
        <w:rPr>
          <w:rFonts w:ascii="Times New Roman" w:eastAsia="Times New Roman" w:hAnsi="Times New Roman" w:cs="Times New Roman"/>
        </w:rPr>
        <w:t xml:space="preserve">. It was the restoration of the Mundari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land ownership system. This could be seen as the first step in the realization of the idea of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Disum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Raij. </w:t>
      </w:r>
      <w:r>
        <w:rPr>
          <w:rFonts w:ascii="Times New Roman" w:eastAsia="Times New Roman" w:hAnsi="Times New Roman" w:cs="Times New Roman"/>
        </w:rPr>
        <w:t xml:space="preserve">However, the idea of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Disum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Raij </w:t>
      </w:r>
      <w:r>
        <w:rPr>
          <w:rFonts w:ascii="Times New Roman" w:eastAsia="Times New Roman" w:hAnsi="Times New Roman" w:cs="Times New Roman"/>
        </w:rPr>
        <w:t xml:space="preserve">was neither realized in the colonial era nor in the post- colonial era. There was no policy or law to restore the lost land of the Adivasis. The Adivasi land taken over by the </w:t>
      </w:r>
      <w:r>
        <w:rPr>
          <w:rFonts w:ascii="Times New Roman" w:eastAsia="Times New Roman" w:hAnsi="Times New Roman" w:cs="Times New Roman"/>
          <w:i/>
        </w:rPr>
        <w:t>jagirdars</w:t>
      </w:r>
      <w:r>
        <w:rPr>
          <w:rFonts w:ascii="Times New Roman" w:eastAsia="Times New Roman" w:hAnsi="Times New Roman" w:cs="Times New Roman"/>
        </w:rPr>
        <w:t xml:space="preserve"> and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was lost forever. The government seems to have taken no affirmative actions to protect</w:t>
      </w:r>
      <w:r>
        <w:rPr>
          <w:rFonts w:ascii="Times New Roman" w:eastAsia="Times New Roman" w:hAnsi="Times New Roman" w:cs="Times New Roman"/>
          <w:i/>
        </w:rPr>
        <w:t xml:space="preserve"> Jal, Jungle and Jameen</w:t>
      </w:r>
      <w:r>
        <w:rPr>
          <w:rFonts w:ascii="Times New Roman" w:eastAsia="Times New Roman" w:hAnsi="Times New Roman" w:cs="Times New Roman"/>
        </w:rPr>
        <w:t xml:space="preserve"> of the </w:t>
      </w:r>
      <w:r>
        <w:rPr>
          <w:rFonts w:ascii="Times New Roman" w:eastAsia="Times New Roman" w:hAnsi="Times New Roman" w:cs="Times New Roman"/>
          <w:i/>
        </w:rPr>
        <w:t>Adivasis</w:t>
      </w:r>
      <w:r>
        <w:rPr>
          <w:rFonts w:ascii="Times New Roman" w:eastAsia="Times New Roman" w:hAnsi="Times New Roman" w:cs="Times New Roman"/>
        </w:rPr>
        <w:t xml:space="preserve">. Even in the presence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 (CNT Act 1908), the</w:t>
      </w:r>
      <w:r>
        <w:rPr>
          <w:rFonts w:ascii="Times New Roman" w:eastAsia="Times New Roman" w:hAnsi="Times New Roman" w:cs="Times New Roman"/>
          <w:i/>
        </w:rPr>
        <w:t xml:space="preserve"> Jal, Jungle and Jameen</w:t>
      </w:r>
      <w:r>
        <w:rPr>
          <w:rFonts w:ascii="Times New Roman" w:eastAsia="Times New Roman" w:hAnsi="Times New Roman" w:cs="Times New Roman"/>
        </w:rPr>
        <w:t xml:space="preserve"> of the </w:t>
      </w:r>
      <w:r>
        <w:rPr>
          <w:rFonts w:ascii="Times New Roman" w:eastAsia="Times New Roman" w:hAnsi="Times New Roman" w:cs="Times New Roman"/>
          <w:i/>
        </w:rPr>
        <w:t>Adivasis</w:t>
      </w:r>
      <w:r>
        <w:rPr>
          <w:rFonts w:ascii="Times New Roman" w:eastAsia="Times New Roman" w:hAnsi="Times New Roman" w:cs="Times New Roman"/>
        </w:rPr>
        <w:t xml:space="preserve"> are being looted. The </w:t>
      </w:r>
      <w:r>
        <w:rPr>
          <w:rFonts w:ascii="Times New Roman" w:eastAsia="Times New Roman" w:hAnsi="Times New Roman" w:cs="Times New Roman"/>
          <w:i/>
        </w:rPr>
        <w:t>Adivasis</w:t>
      </w:r>
      <w:r>
        <w:rPr>
          <w:rFonts w:ascii="Times New Roman" w:eastAsia="Times New Roman" w:hAnsi="Times New Roman" w:cs="Times New Roman"/>
        </w:rPr>
        <w:t xml:space="preserve"> are still the victims of political, social, economic, ethnic, linguistic and cultural exploitations. The present paper attempts to explore the Mundari </w:t>
      </w:r>
      <w:proofErr w:type="spellStart"/>
      <w:r>
        <w:rPr>
          <w:rFonts w:ascii="Times New Roman" w:eastAsia="Times New Roman" w:hAnsi="Times New Roman" w:cs="Times New Roman"/>
        </w:rPr>
        <w:t>Khuntkatti</w:t>
      </w:r>
      <w:proofErr w:type="spellEnd"/>
      <w:r>
        <w:rPr>
          <w:rFonts w:ascii="Times New Roman" w:eastAsia="Times New Roman" w:hAnsi="Times New Roman" w:cs="Times New Roman"/>
        </w:rPr>
        <w:t xml:space="preserve"> land system, the legacy of Birsa Munda, the drafting, enactment, importance and relevance of 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 (CNT Act 1908) and the reasons for the success and failures of the dream of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Disum </w:t>
      </w:r>
      <w:proofErr w:type="spellStart"/>
      <w:r>
        <w:rPr>
          <w:rFonts w:ascii="Times New Roman" w:eastAsia="Times New Roman" w:hAnsi="Times New Roman" w:cs="Times New Roman"/>
          <w:i/>
        </w:rPr>
        <w:t>Abua</w:t>
      </w:r>
      <w:proofErr w:type="spellEnd"/>
      <w:r>
        <w:rPr>
          <w:rFonts w:ascii="Times New Roman" w:eastAsia="Times New Roman" w:hAnsi="Times New Roman" w:cs="Times New Roman"/>
          <w:i/>
        </w:rPr>
        <w:t xml:space="preserve"> Raij. </w:t>
      </w:r>
    </w:p>
    <w:p w14:paraId="51DCDB5D" w14:textId="77777777" w:rsidR="003934E1" w:rsidRDefault="003934E1">
      <w:pPr>
        <w:spacing w:after="200" w:line="360" w:lineRule="auto"/>
        <w:jc w:val="both"/>
        <w:rPr>
          <w:rFonts w:ascii="Times New Roman" w:eastAsia="Times New Roman" w:hAnsi="Times New Roman" w:cs="Times New Roman"/>
        </w:rPr>
      </w:pPr>
    </w:p>
    <w:p w14:paraId="20D8504F" w14:textId="77777777" w:rsidR="003934E1" w:rsidRDefault="00000000">
      <w:pPr>
        <w:spacing w:after="200" w:line="360" w:lineRule="auto"/>
        <w:jc w:val="both"/>
        <w:rPr>
          <w:rFonts w:ascii="Times New Roman" w:eastAsia="Times New Roman" w:hAnsi="Times New Roman" w:cs="Times New Roman"/>
          <w:b/>
          <w:i/>
        </w:rPr>
      </w:pPr>
      <w:r>
        <w:rPr>
          <w:rFonts w:ascii="Times New Roman" w:eastAsia="Times New Roman" w:hAnsi="Times New Roman" w:cs="Times New Roman"/>
          <w:b/>
        </w:rPr>
        <w:t>1. The Munda Land System</w:t>
      </w:r>
    </w:p>
    <w:p w14:paraId="258DB227"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Munda land system was described as a “non-Aryan Commune” (Singh, 1983, p. 29). For the Adivasis land was “a matter of life and death” (Hans, 2020, p. 19). The identity and existence of the Adivasis was rooted in their proprietary rights. The social, political, cultural and economic systems, the religious conceptions, the rites, the ceremonies and the customs of the Adivasis were rooted in land. The Adivasis made the land cultivable out of the forest area in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The Munda Adivasis organized themselves into independent village communities. Each village community was the proprietary body owning all the land inside the village boundary (Tete, 1986, p. 5). The Munda community was governed by </w:t>
      </w:r>
      <w:r>
        <w:rPr>
          <w:rFonts w:ascii="Times New Roman" w:eastAsia="Times New Roman" w:hAnsi="Times New Roman" w:cs="Times New Roman"/>
          <w:i/>
        </w:rPr>
        <w:t>Munda-</w:t>
      </w:r>
      <w:proofErr w:type="spellStart"/>
      <w:r>
        <w:rPr>
          <w:rFonts w:ascii="Times New Roman" w:eastAsia="Times New Roman" w:hAnsi="Times New Roman" w:cs="Times New Roman"/>
          <w:i/>
        </w:rPr>
        <w:t>Manki</w:t>
      </w:r>
      <w:proofErr w:type="spellEnd"/>
      <w:r>
        <w:rPr>
          <w:rFonts w:ascii="Times New Roman" w:eastAsia="Times New Roman" w:hAnsi="Times New Roman" w:cs="Times New Roman"/>
        </w:rPr>
        <w:t xml:space="preserve"> system. Each Munda “family made in the virgin forest its own clearances which came to be known as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hatu</w:t>
      </w:r>
      <w:proofErr w:type="spellEnd"/>
      <w:r>
        <w:rPr>
          <w:rFonts w:ascii="Times New Roman" w:eastAsia="Times New Roman" w:hAnsi="Times New Roman" w:cs="Times New Roman"/>
        </w:rPr>
        <w:t xml:space="preserve"> or the village of the family of the original settlers” (Sinha, 1964, p. 13). The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hatu</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was organized around the principle of </w:t>
      </w:r>
      <w:r>
        <w:rPr>
          <w:rFonts w:ascii="Times New Roman" w:eastAsia="Times New Roman" w:hAnsi="Times New Roman" w:cs="Times New Roman"/>
          <w:i/>
        </w:rPr>
        <w:t xml:space="preserve">Kili </w:t>
      </w:r>
      <w:r>
        <w:rPr>
          <w:rFonts w:ascii="Times New Roman" w:eastAsia="Times New Roman" w:hAnsi="Times New Roman" w:cs="Times New Roman"/>
        </w:rPr>
        <w:t>(clan) and determined by the burial ground (</w:t>
      </w:r>
      <w:proofErr w:type="spellStart"/>
      <w:r>
        <w:rPr>
          <w:rFonts w:ascii="Times New Roman" w:eastAsia="Times New Roman" w:hAnsi="Times New Roman" w:cs="Times New Roman"/>
          <w:i/>
        </w:rPr>
        <w:t>sasan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diri</w:t>
      </w:r>
      <w:proofErr w:type="spellEnd"/>
      <w:r>
        <w:rPr>
          <w:rFonts w:ascii="Times New Roman" w:eastAsia="Times New Roman" w:hAnsi="Times New Roman" w:cs="Times New Roman"/>
        </w:rPr>
        <w:t xml:space="preserve">) (Singh, 2020, p. 30). In a more concrete way, the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hatu</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was organized around the principle of </w:t>
      </w:r>
      <w:proofErr w:type="spellStart"/>
      <w:r>
        <w:rPr>
          <w:rFonts w:ascii="Times New Roman" w:eastAsia="Times New Roman" w:hAnsi="Times New Roman" w:cs="Times New Roman"/>
          <w:i/>
        </w:rPr>
        <w:t>Khunt</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(lineage). Lineage is the local branch of </w:t>
      </w:r>
      <w:r>
        <w:rPr>
          <w:rFonts w:ascii="Times New Roman" w:eastAsia="Times New Roman" w:hAnsi="Times New Roman" w:cs="Times New Roman"/>
          <w:i/>
        </w:rPr>
        <w:t>Kili</w:t>
      </w:r>
      <w:r>
        <w:rPr>
          <w:rFonts w:ascii="Times New Roman" w:eastAsia="Times New Roman" w:hAnsi="Times New Roman" w:cs="Times New Roman"/>
        </w:rPr>
        <w:t xml:space="preserve">. It is the lineage and not the clan which plays the dynamic role in the reclamation of land (Singh, 2020, p. 30)” and the establishment of the village. </w:t>
      </w:r>
    </w:p>
    <w:p w14:paraId="47F858A3"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There were three strata in the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hatu</w:t>
      </w:r>
      <w:proofErr w:type="spellEnd"/>
      <w:r>
        <w:rPr>
          <w:rFonts w:ascii="Times New Roman" w:eastAsia="Times New Roman" w:hAnsi="Times New Roman" w:cs="Times New Roman"/>
        </w:rPr>
        <w:t xml:space="preserve">, namely, the </w:t>
      </w:r>
      <w:r>
        <w:rPr>
          <w:rFonts w:ascii="Times New Roman" w:eastAsia="Times New Roman" w:hAnsi="Times New Roman" w:cs="Times New Roman"/>
          <w:i/>
        </w:rPr>
        <w:t xml:space="preserve">Mundari </w:t>
      </w:r>
      <w:proofErr w:type="spellStart"/>
      <w:r>
        <w:rPr>
          <w:rFonts w:ascii="Times New Roman" w:eastAsia="Times New Roman" w:hAnsi="Times New Roman" w:cs="Times New Roman"/>
          <w:i/>
        </w:rPr>
        <w:t>khuntkattidars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prajas</w:t>
      </w:r>
      <w:proofErr w:type="spellEnd"/>
      <w:r>
        <w:rPr>
          <w:rFonts w:ascii="Times New Roman" w:eastAsia="Times New Roman" w:hAnsi="Times New Roman" w:cs="Times New Roman"/>
        </w:rPr>
        <w:t xml:space="preserve"> or </w:t>
      </w:r>
      <w:r>
        <w:rPr>
          <w:rFonts w:ascii="Times New Roman" w:eastAsia="Times New Roman" w:hAnsi="Times New Roman" w:cs="Times New Roman"/>
          <w:i/>
        </w:rPr>
        <w:t>raiyats</w:t>
      </w:r>
      <w:r>
        <w:rPr>
          <w:rFonts w:ascii="Times New Roman" w:eastAsia="Times New Roman" w:hAnsi="Times New Roman" w:cs="Times New Roman"/>
        </w:rPr>
        <w:t xml:space="preserve"> and the subsidiary functional castes of artisans and labourers. The judicial primacy of the </w:t>
      </w:r>
      <w:proofErr w:type="spellStart"/>
      <w:r>
        <w:rPr>
          <w:rFonts w:ascii="Times New Roman" w:eastAsia="Times New Roman" w:hAnsi="Times New Roman" w:cs="Times New Roman"/>
          <w:i/>
        </w:rPr>
        <w:t>khuntkattidar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was well established. “All rights and privileges belonged to them (Singh, 2020, p. 30). The customary rights of the raiyats and the subsidiary functional castes of the artisans and labourers were not determined and established. As the Munda </w:t>
      </w:r>
      <w:proofErr w:type="spellStart"/>
      <w:r>
        <w:rPr>
          <w:rFonts w:ascii="Times New Roman" w:eastAsia="Times New Roman" w:hAnsi="Times New Roman" w:cs="Times New Roman"/>
          <w:i/>
        </w:rPr>
        <w:t>khuntkattidar</w:t>
      </w:r>
      <w:proofErr w:type="spellEnd"/>
      <w:r>
        <w:rPr>
          <w:rFonts w:ascii="Times New Roman" w:eastAsia="Times New Roman" w:hAnsi="Times New Roman" w:cs="Times New Roman"/>
        </w:rPr>
        <w:t xml:space="preserve"> family multiplied due to the growth of population separate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hatuko</w:t>
      </w:r>
      <w:proofErr w:type="spellEnd"/>
      <w:r>
        <w:rPr>
          <w:rFonts w:ascii="Times New Roman" w:eastAsia="Times New Roman" w:hAnsi="Times New Roman" w:cs="Times New Roman"/>
        </w:rPr>
        <w:t xml:space="preserve"> (villages) were founded. As a result, the original Munda </w:t>
      </w:r>
      <w:proofErr w:type="spellStart"/>
      <w:r>
        <w:rPr>
          <w:rFonts w:ascii="Times New Roman" w:eastAsia="Times New Roman" w:hAnsi="Times New Roman" w:cs="Times New Roman"/>
          <w:i/>
        </w:rPr>
        <w:t>khuntkattidar</w:t>
      </w:r>
      <w:proofErr w:type="spellEnd"/>
      <w:r>
        <w:rPr>
          <w:rFonts w:ascii="Times New Roman" w:eastAsia="Times New Roman" w:hAnsi="Times New Roman" w:cs="Times New Roman"/>
        </w:rPr>
        <w:t xml:space="preserve"> family branched off into a number of separate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families of the same clan. The </w:t>
      </w:r>
      <w:proofErr w:type="spellStart"/>
      <w:r>
        <w:rPr>
          <w:rFonts w:ascii="Times New Roman" w:eastAsia="Times New Roman" w:hAnsi="Times New Roman" w:cs="Times New Roman"/>
          <w:i/>
        </w:rPr>
        <w:t>prajas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or </w:t>
      </w:r>
      <w:r>
        <w:rPr>
          <w:rFonts w:ascii="Times New Roman" w:eastAsia="Times New Roman" w:hAnsi="Times New Roman" w:cs="Times New Roman"/>
          <w:i/>
        </w:rPr>
        <w:t>raiyats</w:t>
      </w:r>
      <w:r>
        <w:rPr>
          <w:rFonts w:ascii="Times New Roman" w:eastAsia="Times New Roman" w:hAnsi="Times New Roman" w:cs="Times New Roman"/>
        </w:rPr>
        <w:t xml:space="preserve"> were the relatives of </w:t>
      </w:r>
      <w:r>
        <w:rPr>
          <w:rFonts w:ascii="Times New Roman" w:eastAsia="Times New Roman" w:hAnsi="Times New Roman" w:cs="Times New Roman"/>
          <w:i/>
        </w:rPr>
        <w:t xml:space="preserve">the </w:t>
      </w:r>
      <w:proofErr w:type="spellStart"/>
      <w:r>
        <w:rPr>
          <w:rFonts w:ascii="Times New Roman" w:eastAsia="Times New Roman" w:hAnsi="Times New Roman" w:cs="Times New Roman"/>
          <w:i/>
        </w:rPr>
        <w:t>khuntkattidar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i/>
        </w:rPr>
        <w:t>prajas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were called </w:t>
      </w:r>
      <w:proofErr w:type="spellStart"/>
      <w:r>
        <w:rPr>
          <w:rFonts w:ascii="Times New Roman" w:eastAsia="Times New Roman" w:hAnsi="Times New Roman" w:cs="Times New Roman"/>
          <w:i/>
        </w:rPr>
        <w:t>etahaturenko</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or </w:t>
      </w:r>
      <w:proofErr w:type="spellStart"/>
      <w:r>
        <w:rPr>
          <w:rFonts w:ascii="Times New Roman" w:eastAsia="Times New Roman" w:hAnsi="Times New Roman" w:cs="Times New Roman"/>
          <w:i/>
        </w:rPr>
        <w:t>praja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horoko</w:t>
      </w:r>
      <w:proofErr w:type="spellEnd"/>
      <w:r>
        <w:rPr>
          <w:rFonts w:ascii="Times New Roman" w:eastAsia="Times New Roman" w:hAnsi="Times New Roman" w:cs="Times New Roman"/>
        </w:rPr>
        <w:t xml:space="preserve"> and no right in the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village land. The </w:t>
      </w:r>
      <w:proofErr w:type="spellStart"/>
      <w:r>
        <w:rPr>
          <w:rFonts w:ascii="Times New Roman" w:eastAsia="Times New Roman" w:hAnsi="Times New Roman" w:cs="Times New Roman"/>
          <w:i/>
        </w:rPr>
        <w:t>prajas</w:t>
      </w:r>
      <w:proofErr w:type="spellEnd"/>
      <w:r>
        <w:rPr>
          <w:rFonts w:ascii="Times New Roman" w:eastAsia="Times New Roman" w:hAnsi="Times New Roman" w:cs="Times New Roman"/>
        </w:rPr>
        <w:t xml:space="preserve"> were allotted the specific plots of land in the village by the </w:t>
      </w:r>
      <w:proofErr w:type="spellStart"/>
      <w:r>
        <w:rPr>
          <w:rFonts w:ascii="Times New Roman" w:eastAsia="Times New Roman" w:hAnsi="Times New Roman" w:cs="Times New Roman"/>
          <w:i/>
        </w:rPr>
        <w:t>khuntkattidar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for their maintenance.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required the services of blacksmiths to make and mend their ploughshares, and the cowherds to tend their cattle and weavers to weave their cloth”(Sinha, 1964, p. 14). The blacksmiths, the cowherds and weavers were employed and paid with plots of land in the village. </w:t>
      </w:r>
    </w:p>
    <w:p w14:paraId="1D6D3038"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developed a highly democratic form of government. The “village system was the unit of ancient Munda polity and its head was the </w:t>
      </w:r>
      <w:r>
        <w:rPr>
          <w:rFonts w:ascii="Times New Roman" w:eastAsia="Times New Roman" w:hAnsi="Times New Roman" w:cs="Times New Roman"/>
          <w:i/>
        </w:rPr>
        <w:t>Munda</w:t>
      </w:r>
      <w:r>
        <w:rPr>
          <w:rFonts w:ascii="Times New Roman" w:eastAsia="Times New Roman" w:hAnsi="Times New Roman" w:cs="Times New Roman"/>
        </w:rPr>
        <w:t xml:space="preserve">” (Sinha, 1964, p. 14). The Munda was the chief among members of the </w:t>
      </w:r>
      <w:proofErr w:type="spellStart"/>
      <w:r>
        <w:rPr>
          <w:rFonts w:ascii="Times New Roman" w:eastAsia="Times New Roman" w:hAnsi="Times New Roman" w:cs="Times New Roman"/>
          <w:i/>
        </w:rPr>
        <w:t>khuntikatti</w:t>
      </w:r>
      <w:proofErr w:type="spellEnd"/>
      <w:r>
        <w:rPr>
          <w:rFonts w:ascii="Times New Roman" w:eastAsia="Times New Roman" w:hAnsi="Times New Roman" w:cs="Times New Roman"/>
        </w:rPr>
        <w:t xml:space="preserve"> group. Over and above the village organization of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was the </w:t>
      </w:r>
      <w:proofErr w:type="spellStart"/>
      <w:r>
        <w:rPr>
          <w:rFonts w:ascii="Times New Roman" w:eastAsia="Times New Roman" w:hAnsi="Times New Roman" w:cs="Times New Roman"/>
          <w:i/>
        </w:rPr>
        <w:t>patti</w:t>
      </w:r>
      <w:proofErr w:type="spellEnd"/>
      <w:r>
        <w:rPr>
          <w:rFonts w:ascii="Times New Roman" w:eastAsia="Times New Roman" w:hAnsi="Times New Roman" w:cs="Times New Roman"/>
        </w:rPr>
        <w:t xml:space="preserve"> system. Several villages were grouped to form a </w:t>
      </w:r>
      <w:proofErr w:type="spellStart"/>
      <w:r>
        <w:rPr>
          <w:rFonts w:ascii="Times New Roman" w:eastAsia="Times New Roman" w:hAnsi="Times New Roman" w:cs="Times New Roman"/>
          <w:i/>
        </w:rPr>
        <w:t>patti</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i/>
        </w:rPr>
        <w:t>patti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was the confederation of several villages. Its chief was the </w:t>
      </w:r>
      <w:proofErr w:type="spellStart"/>
      <w:r>
        <w:rPr>
          <w:rFonts w:ascii="Times New Roman" w:eastAsia="Times New Roman" w:hAnsi="Times New Roman" w:cs="Times New Roman"/>
          <w:i/>
        </w:rPr>
        <w:t>Manki</w:t>
      </w:r>
      <w:proofErr w:type="spellEnd"/>
      <w:r>
        <w:rPr>
          <w:rFonts w:ascii="Times New Roman" w:eastAsia="Times New Roman" w:hAnsi="Times New Roman" w:cs="Times New Roman"/>
        </w:rPr>
        <w:t xml:space="preserve">. The village headmen, the </w:t>
      </w:r>
      <w:proofErr w:type="spellStart"/>
      <w:r>
        <w:rPr>
          <w:rFonts w:ascii="Times New Roman" w:eastAsia="Times New Roman" w:hAnsi="Times New Roman" w:cs="Times New Roman"/>
          <w:i/>
        </w:rPr>
        <w:t>Mundas</w:t>
      </w:r>
      <w:proofErr w:type="spellEnd"/>
      <w:r>
        <w:rPr>
          <w:rFonts w:ascii="Times New Roman" w:eastAsia="Times New Roman" w:hAnsi="Times New Roman" w:cs="Times New Roman"/>
        </w:rPr>
        <w:t xml:space="preserve"> elected the </w:t>
      </w:r>
      <w:proofErr w:type="spellStart"/>
      <w:r>
        <w:rPr>
          <w:rFonts w:ascii="Times New Roman" w:eastAsia="Times New Roman" w:hAnsi="Times New Roman" w:cs="Times New Roman"/>
          <w:i/>
        </w:rPr>
        <w:t>Manki</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i/>
        </w:rPr>
        <w:t>Mundas</w:t>
      </w:r>
      <w:proofErr w:type="spellEnd"/>
      <w:r>
        <w:rPr>
          <w:rFonts w:ascii="Times New Roman" w:eastAsia="Times New Roman" w:hAnsi="Times New Roman" w:cs="Times New Roman"/>
        </w:rPr>
        <w:t xml:space="preserve"> swore allegiance to the elected </w:t>
      </w:r>
      <w:proofErr w:type="spellStart"/>
      <w:r>
        <w:rPr>
          <w:rFonts w:ascii="Times New Roman" w:eastAsia="Times New Roman" w:hAnsi="Times New Roman" w:cs="Times New Roman"/>
          <w:i/>
        </w:rPr>
        <w:t>Manki</w:t>
      </w:r>
      <w:proofErr w:type="spellEnd"/>
      <w:r>
        <w:rPr>
          <w:rFonts w:ascii="Times New Roman" w:eastAsia="Times New Roman" w:hAnsi="Times New Roman" w:cs="Times New Roman"/>
          <w:i/>
        </w:rPr>
        <w:t>. “</w:t>
      </w:r>
      <w:r>
        <w:rPr>
          <w:rFonts w:ascii="Times New Roman" w:eastAsia="Times New Roman" w:hAnsi="Times New Roman" w:cs="Times New Roman"/>
        </w:rPr>
        <w:t xml:space="preserve">The </w:t>
      </w:r>
      <w:proofErr w:type="spellStart"/>
      <w:r>
        <w:rPr>
          <w:rFonts w:ascii="Times New Roman" w:eastAsia="Times New Roman" w:hAnsi="Times New Roman" w:cs="Times New Roman"/>
          <w:i/>
        </w:rPr>
        <w:t>Manki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was always looked upon as a chief among equals- leader not a ruler” (Sinha, 1964, p. 14). It must be noted that the posts of the </w:t>
      </w:r>
      <w:r>
        <w:rPr>
          <w:rFonts w:ascii="Times New Roman" w:eastAsia="Times New Roman" w:hAnsi="Times New Roman" w:cs="Times New Roman"/>
          <w:i/>
        </w:rPr>
        <w:t>Munda</w:t>
      </w:r>
      <w:r>
        <w:rPr>
          <w:rFonts w:ascii="Times New Roman" w:eastAsia="Times New Roman" w:hAnsi="Times New Roman" w:cs="Times New Roman"/>
        </w:rPr>
        <w:t xml:space="preserve"> and the </w:t>
      </w:r>
      <w:proofErr w:type="spellStart"/>
      <w:r>
        <w:rPr>
          <w:rFonts w:ascii="Times New Roman" w:eastAsia="Times New Roman" w:hAnsi="Times New Roman" w:cs="Times New Roman"/>
          <w:i/>
        </w:rPr>
        <w:t>Manki</w:t>
      </w:r>
      <w:proofErr w:type="spellEnd"/>
      <w:r>
        <w:rPr>
          <w:rFonts w:ascii="Times New Roman" w:eastAsia="Times New Roman" w:hAnsi="Times New Roman" w:cs="Times New Roman"/>
        </w:rPr>
        <w:t xml:space="preserve"> were hereditary. The </w:t>
      </w:r>
      <w:r>
        <w:rPr>
          <w:rFonts w:ascii="Times New Roman" w:eastAsia="Times New Roman" w:hAnsi="Times New Roman" w:cs="Times New Roman"/>
          <w:i/>
        </w:rPr>
        <w:t>Munda</w:t>
      </w:r>
      <w:r>
        <w:rPr>
          <w:rFonts w:ascii="Times New Roman" w:eastAsia="Times New Roman" w:hAnsi="Times New Roman" w:cs="Times New Roman"/>
        </w:rPr>
        <w:t xml:space="preserve"> “was a direct descendant in the line of male from the original founder of” (Tete, 1986, p. 5) the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village. The administration of justice was carried out by the </w:t>
      </w:r>
      <w:r>
        <w:rPr>
          <w:rFonts w:ascii="Times New Roman" w:eastAsia="Times New Roman" w:hAnsi="Times New Roman" w:cs="Times New Roman"/>
          <w:i/>
        </w:rPr>
        <w:t xml:space="preserve">Munda </w:t>
      </w:r>
      <w:r>
        <w:rPr>
          <w:rFonts w:ascii="Times New Roman" w:eastAsia="Times New Roman" w:hAnsi="Times New Roman" w:cs="Times New Roman"/>
        </w:rPr>
        <w:t xml:space="preserve">in the village whereas it was carried out by the </w:t>
      </w:r>
      <w:proofErr w:type="spellStart"/>
      <w:r>
        <w:rPr>
          <w:rFonts w:ascii="Times New Roman" w:eastAsia="Times New Roman" w:hAnsi="Times New Roman" w:cs="Times New Roman"/>
          <w:i/>
        </w:rPr>
        <w:t>Manki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in the </w:t>
      </w:r>
      <w:proofErr w:type="spellStart"/>
      <w:r>
        <w:rPr>
          <w:rFonts w:ascii="Times New Roman" w:eastAsia="Times New Roman" w:hAnsi="Times New Roman" w:cs="Times New Roman"/>
          <w:i/>
        </w:rPr>
        <w:t>patti</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Munda</w:t>
      </w:r>
      <w:r>
        <w:rPr>
          <w:rFonts w:ascii="Times New Roman" w:eastAsia="Times New Roman" w:hAnsi="Times New Roman" w:cs="Times New Roman"/>
        </w:rPr>
        <w:t xml:space="preserve"> was assisted by the village </w:t>
      </w:r>
      <w:proofErr w:type="spellStart"/>
      <w:r>
        <w:rPr>
          <w:rFonts w:ascii="Times New Roman" w:eastAsia="Times New Roman" w:hAnsi="Times New Roman" w:cs="Times New Roman"/>
          <w:i/>
        </w:rPr>
        <w:t>panch</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whereas the </w:t>
      </w:r>
      <w:proofErr w:type="spellStart"/>
      <w:r>
        <w:rPr>
          <w:rFonts w:ascii="Times New Roman" w:eastAsia="Times New Roman" w:hAnsi="Times New Roman" w:cs="Times New Roman"/>
          <w:i/>
        </w:rPr>
        <w:t>Manki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was assisted by the </w:t>
      </w:r>
      <w:proofErr w:type="spellStart"/>
      <w:r>
        <w:rPr>
          <w:rFonts w:ascii="Times New Roman" w:eastAsia="Times New Roman" w:hAnsi="Times New Roman" w:cs="Times New Roman"/>
          <w:i/>
        </w:rPr>
        <w:t>patti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panch</w:t>
      </w:r>
      <w:proofErr w:type="spellEnd"/>
      <w:r>
        <w:rPr>
          <w:rFonts w:ascii="Times New Roman" w:eastAsia="Times New Roman" w:hAnsi="Times New Roman" w:cs="Times New Roman"/>
        </w:rPr>
        <w:t xml:space="preserve"> in the administration of the </w:t>
      </w:r>
      <w:proofErr w:type="spellStart"/>
      <w:r>
        <w:rPr>
          <w:rFonts w:ascii="Times New Roman" w:eastAsia="Times New Roman" w:hAnsi="Times New Roman" w:cs="Times New Roman"/>
          <w:i/>
        </w:rPr>
        <w:t>patti</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i/>
        </w:rPr>
        <w:t>Manki</w:t>
      </w:r>
      <w:proofErr w:type="spellEnd"/>
      <w:r>
        <w:rPr>
          <w:rFonts w:ascii="Times New Roman" w:eastAsia="Times New Roman" w:hAnsi="Times New Roman" w:cs="Times New Roman"/>
        </w:rPr>
        <w:t xml:space="preserve"> did not have property claim over the confederated villages. Around 64 A.D. the councils of </w:t>
      </w:r>
      <w:proofErr w:type="spellStart"/>
      <w:r>
        <w:rPr>
          <w:rFonts w:ascii="Times New Roman" w:eastAsia="Times New Roman" w:hAnsi="Times New Roman" w:cs="Times New Roman"/>
          <w:i/>
        </w:rPr>
        <w:t>Mankis</w:t>
      </w:r>
      <w:proofErr w:type="spellEnd"/>
      <w:r>
        <w:rPr>
          <w:rFonts w:ascii="Times New Roman" w:eastAsia="Times New Roman" w:hAnsi="Times New Roman" w:cs="Times New Roman"/>
        </w:rPr>
        <w:t xml:space="preserve"> elected a king Phani Mukut Roy, a ward of Madra Munda. It was the beginning of the rule of the </w:t>
      </w:r>
      <w:proofErr w:type="spellStart"/>
      <w:r>
        <w:rPr>
          <w:rFonts w:ascii="Times New Roman" w:eastAsia="Times New Roman" w:hAnsi="Times New Roman" w:cs="Times New Roman"/>
        </w:rPr>
        <w:t>Nagbansi</w:t>
      </w:r>
      <w:proofErr w:type="spellEnd"/>
      <w:r>
        <w:rPr>
          <w:rFonts w:ascii="Times New Roman" w:eastAsia="Times New Roman" w:hAnsi="Times New Roman" w:cs="Times New Roman"/>
        </w:rPr>
        <w:t xml:space="preserve"> family in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w:t>
      </w:r>
    </w:p>
    <w:p w14:paraId="00DFA75E" w14:textId="77777777" w:rsidR="003934E1" w:rsidRDefault="003934E1">
      <w:pPr>
        <w:spacing w:after="200" w:line="360" w:lineRule="auto"/>
        <w:jc w:val="both"/>
        <w:rPr>
          <w:rFonts w:ascii="Times New Roman" w:eastAsia="Times New Roman" w:hAnsi="Times New Roman" w:cs="Times New Roman"/>
        </w:rPr>
      </w:pPr>
    </w:p>
    <w:p w14:paraId="1F247E84" w14:textId="77777777" w:rsidR="003934E1" w:rsidRDefault="00000000">
      <w:pPr>
        <w:spacing w:after="200" w:line="360" w:lineRule="auto"/>
        <w:jc w:val="both"/>
        <w:rPr>
          <w:rFonts w:ascii="Times New Roman" w:eastAsia="Times New Roman" w:hAnsi="Times New Roman" w:cs="Times New Roman"/>
          <w:b/>
          <w:i/>
        </w:rPr>
      </w:pPr>
      <w:r>
        <w:rPr>
          <w:rFonts w:ascii="Times New Roman" w:eastAsia="Times New Roman" w:hAnsi="Times New Roman" w:cs="Times New Roman"/>
          <w:b/>
        </w:rPr>
        <w:t xml:space="preserve">2. The Eve of the Birsa </w:t>
      </w:r>
      <w:proofErr w:type="spellStart"/>
      <w:r>
        <w:rPr>
          <w:rFonts w:ascii="Times New Roman" w:eastAsia="Times New Roman" w:hAnsi="Times New Roman" w:cs="Times New Roman"/>
          <w:b/>
          <w:i/>
        </w:rPr>
        <w:t>Ulgulan</w:t>
      </w:r>
      <w:proofErr w:type="spellEnd"/>
      <w:r>
        <w:rPr>
          <w:rFonts w:ascii="Times New Roman" w:eastAsia="Times New Roman" w:hAnsi="Times New Roman" w:cs="Times New Roman"/>
          <w:b/>
          <w:i/>
        </w:rPr>
        <w:t xml:space="preserve"> </w:t>
      </w:r>
    </w:p>
    <w:p w14:paraId="56165EBA"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began to write the story of their own destruction when the council of the </w:t>
      </w:r>
      <w:proofErr w:type="spellStart"/>
      <w:r>
        <w:rPr>
          <w:rFonts w:ascii="Times New Roman" w:eastAsia="Times New Roman" w:hAnsi="Times New Roman" w:cs="Times New Roman"/>
          <w:i/>
        </w:rPr>
        <w:t>Mankis</w:t>
      </w:r>
      <w:proofErr w:type="spellEnd"/>
      <w:r>
        <w:rPr>
          <w:rFonts w:ascii="Times New Roman" w:eastAsia="Times New Roman" w:hAnsi="Times New Roman" w:cs="Times New Roman"/>
        </w:rPr>
        <w:t xml:space="preserve"> of several </w:t>
      </w:r>
      <w:proofErr w:type="spellStart"/>
      <w:r>
        <w:rPr>
          <w:rFonts w:ascii="Times New Roman" w:eastAsia="Times New Roman" w:hAnsi="Times New Roman" w:cs="Times New Roman"/>
          <w:i/>
        </w:rPr>
        <w:t>pattis</w:t>
      </w:r>
      <w:proofErr w:type="spellEnd"/>
      <w:r>
        <w:rPr>
          <w:rFonts w:ascii="Times New Roman" w:eastAsia="Times New Roman" w:hAnsi="Times New Roman" w:cs="Times New Roman"/>
        </w:rPr>
        <w:t xml:space="preserve"> elected a king around 64 A.D.  The change in the system of administration by electing a king from the </w:t>
      </w:r>
      <w:proofErr w:type="spellStart"/>
      <w:r>
        <w:rPr>
          <w:rFonts w:ascii="Times New Roman" w:eastAsia="Times New Roman" w:hAnsi="Times New Roman" w:cs="Times New Roman"/>
        </w:rPr>
        <w:t>Nagbansi</w:t>
      </w:r>
      <w:proofErr w:type="spellEnd"/>
      <w:r>
        <w:rPr>
          <w:rFonts w:ascii="Times New Roman" w:eastAsia="Times New Roman" w:hAnsi="Times New Roman" w:cs="Times New Roman"/>
        </w:rPr>
        <w:t xml:space="preserve"> family marked the beginning of the denial and destruction of Mundari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land system. In the beginning,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offered “honorary attendance to the king” (Sinha, 1964, p. 15).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paid a certain contribution </w:t>
      </w:r>
      <w:proofErr w:type="spellStart"/>
      <w:r>
        <w:rPr>
          <w:rFonts w:ascii="Times New Roman" w:eastAsia="Times New Roman" w:hAnsi="Times New Roman" w:cs="Times New Roman"/>
          <w:i/>
        </w:rPr>
        <w:t>chanda</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or subscriptions to the king through their </w:t>
      </w:r>
      <w:proofErr w:type="spellStart"/>
      <w:r>
        <w:rPr>
          <w:rFonts w:ascii="Times New Roman" w:eastAsia="Times New Roman" w:hAnsi="Times New Roman" w:cs="Times New Roman"/>
          <w:i/>
        </w:rPr>
        <w:t>Mankis</w:t>
      </w:r>
      <w:proofErr w:type="spellEnd"/>
      <w:r>
        <w:rPr>
          <w:rFonts w:ascii="Times New Roman" w:eastAsia="Times New Roman" w:hAnsi="Times New Roman" w:cs="Times New Roman"/>
          <w:i/>
        </w:rPr>
        <w:t>.</w:t>
      </w:r>
      <w:r>
        <w:rPr>
          <w:rFonts w:ascii="Times New Roman" w:eastAsia="Times New Roman" w:hAnsi="Times New Roman" w:cs="Times New Roman"/>
        </w:rPr>
        <w:t xml:space="preserve"> The king was content with limited supplies for his household and his courts from the various villages. In 1585, Akbar, the Mughal Emperor subdued the king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The king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“was reduced to the position of a tributary of” (Tete, 1986, p. 6) the Mughal Emperor. However, the king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failed to pay an annual tribute to the Mughal Emperor. The Mughal Emperor put the king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in prison at Gwalior in 1616. He was imprisoned till 1628.  When he was released, he was </w:t>
      </w:r>
      <w:proofErr w:type="spellStart"/>
      <w:r>
        <w:rPr>
          <w:rFonts w:ascii="Times New Roman" w:eastAsia="Times New Roman" w:hAnsi="Times New Roman" w:cs="Times New Roman"/>
        </w:rPr>
        <w:t>hinduised</w:t>
      </w:r>
      <w:proofErr w:type="spellEnd"/>
      <w:r>
        <w:rPr>
          <w:rFonts w:ascii="Times New Roman" w:eastAsia="Times New Roman" w:hAnsi="Times New Roman" w:cs="Times New Roman"/>
        </w:rPr>
        <w:t xml:space="preserve"> through intermarriage. He began to rule the Adivasis like a Hindu king. He introduced a horde of outsiders into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These outsiders were a group of middle-men. The king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“began to imbibe the ideas of worldly grandeur and royal pomp” (Sinha, 1964, p. 15) of the Rajput kings. He invited the Brahmins, the </w:t>
      </w:r>
      <w:proofErr w:type="spellStart"/>
      <w:r>
        <w:rPr>
          <w:rFonts w:ascii="Times New Roman" w:eastAsia="Times New Roman" w:hAnsi="Times New Roman" w:cs="Times New Roman"/>
          <w:i/>
        </w:rPr>
        <w:t>Chatris</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i/>
        </w:rPr>
        <w:t>Baraiks</w:t>
      </w:r>
      <w:proofErr w:type="spellEnd"/>
      <w:r>
        <w:rPr>
          <w:rFonts w:ascii="Times New Roman" w:eastAsia="Times New Roman" w:hAnsi="Times New Roman" w:cs="Times New Roman"/>
        </w:rPr>
        <w:t xml:space="preserve"> and </w:t>
      </w:r>
      <w:r>
        <w:rPr>
          <w:rFonts w:ascii="Times New Roman" w:eastAsia="Times New Roman" w:hAnsi="Times New Roman" w:cs="Times New Roman"/>
        </w:rPr>
        <w:lastRenderedPageBreak/>
        <w:t xml:space="preserve">the </w:t>
      </w:r>
      <w:proofErr w:type="spellStart"/>
      <w:r>
        <w:rPr>
          <w:rFonts w:ascii="Times New Roman" w:eastAsia="Times New Roman" w:hAnsi="Times New Roman" w:cs="Times New Roman"/>
          <w:i/>
        </w:rPr>
        <w:t>Rautias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into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from Bihar and the Central Provinces and made them courtiers and servants in his court. The courtiers and servants were remunerated with </w:t>
      </w:r>
      <w:r>
        <w:rPr>
          <w:rFonts w:ascii="Times New Roman" w:eastAsia="Times New Roman" w:hAnsi="Times New Roman" w:cs="Times New Roman"/>
          <w:i/>
        </w:rPr>
        <w:t>jagirs</w:t>
      </w:r>
      <w:r>
        <w:rPr>
          <w:rFonts w:ascii="Times New Roman" w:eastAsia="Times New Roman" w:hAnsi="Times New Roman" w:cs="Times New Roman"/>
        </w:rPr>
        <w:t xml:space="preserve"> and hence a class of </w:t>
      </w:r>
      <w:r>
        <w:rPr>
          <w:rFonts w:ascii="Times New Roman" w:eastAsia="Times New Roman" w:hAnsi="Times New Roman" w:cs="Times New Roman"/>
          <w:i/>
        </w:rPr>
        <w:t>jagirdars</w:t>
      </w:r>
      <w:r>
        <w:rPr>
          <w:rFonts w:ascii="Times New Roman" w:eastAsia="Times New Roman" w:hAnsi="Times New Roman" w:cs="Times New Roman"/>
        </w:rPr>
        <w:t xml:space="preserve"> came into existence. “A certain proportion of the produce of the lands” (Sinha, 1964, p. 15) held by raiyats (</w:t>
      </w:r>
      <w:proofErr w:type="spellStart"/>
      <w:r>
        <w:rPr>
          <w:rFonts w:ascii="Times New Roman" w:eastAsia="Times New Roman" w:hAnsi="Times New Roman" w:cs="Times New Roman"/>
          <w:i/>
        </w:rPr>
        <w:t>praja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horoko</w:t>
      </w:r>
      <w:proofErr w:type="spellEnd"/>
      <w:r>
        <w:rPr>
          <w:rFonts w:ascii="Times New Roman" w:eastAsia="Times New Roman" w:hAnsi="Times New Roman" w:cs="Times New Roman"/>
        </w:rPr>
        <w:t xml:space="preserve">) was collected by the </w:t>
      </w:r>
      <w:r>
        <w:rPr>
          <w:rFonts w:ascii="Times New Roman" w:eastAsia="Times New Roman" w:hAnsi="Times New Roman" w:cs="Times New Roman"/>
          <w:i/>
        </w:rPr>
        <w:t>jagirdars</w:t>
      </w:r>
      <w:r>
        <w:rPr>
          <w:rFonts w:ascii="Times New Roman" w:eastAsia="Times New Roman" w:hAnsi="Times New Roman" w:cs="Times New Roman"/>
        </w:rPr>
        <w:t xml:space="preserve">. It was the first attack on the Munda land system. It “led to the breaking up of traditional Munda polity” (Sinha, 1964, p. 15). The king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granted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villages to Hindu, Muslims and Sikhs on </w:t>
      </w:r>
      <w:proofErr w:type="spellStart"/>
      <w:r>
        <w:rPr>
          <w:rFonts w:ascii="Times New Roman" w:eastAsia="Times New Roman" w:hAnsi="Times New Roman" w:cs="Times New Roman"/>
          <w:i/>
        </w:rPr>
        <w:t>thika</w:t>
      </w:r>
      <w:proofErr w:type="spellEnd"/>
      <w:r>
        <w:rPr>
          <w:rFonts w:ascii="Times New Roman" w:eastAsia="Times New Roman" w:hAnsi="Times New Roman" w:cs="Times New Roman"/>
        </w:rPr>
        <w:t xml:space="preserve"> or temporary lease for their valuable cloths and goods, and military service. Hence, a new class of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came into existence. The </w:t>
      </w:r>
      <w:proofErr w:type="spellStart"/>
      <w:r>
        <w:rPr>
          <w:rFonts w:ascii="Times New Roman" w:eastAsia="Times New Roman" w:hAnsi="Times New Roman" w:cs="Times New Roman"/>
          <w:i/>
        </w:rPr>
        <w:t>thika</w:t>
      </w:r>
      <w:proofErr w:type="spellEnd"/>
      <w:r>
        <w:rPr>
          <w:rFonts w:ascii="Times New Roman" w:eastAsia="Times New Roman" w:hAnsi="Times New Roman" w:cs="Times New Roman"/>
        </w:rPr>
        <w:t xml:space="preserve"> and the </w:t>
      </w:r>
      <w:r>
        <w:rPr>
          <w:rFonts w:ascii="Times New Roman" w:eastAsia="Times New Roman" w:hAnsi="Times New Roman" w:cs="Times New Roman"/>
          <w:i/>
        </w:rPr>
        <w:t>jagir</w:t>
      </w:r>
      <w:r>
        <w:rPr>
          <w:rFonts w:ascii="Times New Roman" w:eastAsia="Times New Roman" w:hAnsi="Times New Roman" w:cs="Times New Roman"/>
        </w:rPr>
        <w:t xml:space="preserve"> systems encroached upon the immemorial and inalienable rights of the Adivasis in general and of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in particular. Hence, the </w:t>
      </w:r>
      <w:proofErr w:type="spellStart"/>
      <w:r>
        <w:rPr>
          <w:rFonts w:ascii="Times New Roman" w:eastAsia="Times New Roman" w:hAnsi="Times New Roman" w:cs="Times New Roman"/>
          <w:i/>
        </w:rPr>
        <w:t>thika</w:t>
      </w:r>
      <w:proofErr w:type="spellEnd"/>
      <w:r>
        <w:rPr>
          <w:rFonts w:ascii="Times New Roman" w:eastAsia="Times New Roman" w:hAnsi="Times New Roman" w:cs="Times New Roman"/>
        </w:rPr>
        <w:t xml:space="preserve"> and the </w:t>
      </w:r>
      <w:r>
        <w:rPr>
          <w:rFonts w:ascii="Times New Roman" w:eastAsia="Times New Roman" w:hAnsi="Times New Roman" w:cs="Times New Roman"/>
          <w:i/>
        </w:rPr>
        <w:t>jagir</w:t>
      </w:r>
      <w:r>
        <w:rPr>
          <w:rFonts w:ascii="Times New Roman" w:eastAsia="Times New Roman" w:hAnsi="Times New Roman" w:cs="Times New Roman"/>
        </w:rPr>
        <w:t xml:space="preserve"> systems were the main causes of several revolts of the Adivasis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The Adivasis in general and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in particular were freedom loving people. They did not have any “tradition of accepting a feudal system with its bondage and servitude” (Sinha, 1964, p. 16).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and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inflicted great oppression on the Adivasis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They were ignorant and unmindful of the traditions of the Adivasis in general and of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in particular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w:t>
      </w:r>
    </w:p>
    <w:p w14:paraId="333CE392"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In 1765, the Mughal Emperor Shah Alam II granted the </w:t>
      </w:r>
      <w:proofErr w:type="spellStart"/>
      <w:r>
        <w:rPr>
          <w:rFonts w:ascii="Times New Roman" w:eastAsia="Times New Roman" w:hAnsi="Times New Roman" w:cs="Times New Roman"/>
          <w:i/>
        </w:rPr>
        <w:t>Dewani</w:t>
      </w:r>
      <w:proofErr w:type="spellEnd"/>
      <w:r>
        <w:rPr>
          <w:rFonts w:ascii="Times New Roman" w:eastAsia="Times New Roman" w:hAnsi="Times New Roman" w:cs="Times New Roman"/>
        </w:rPr>
        <w:t xml:space="preserve"> of Bengal, Bihar and Orissa to the East India Company.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came under British Government. The British “Government showed only one interest in the administration namely the collection of </w:t>
      </w:r>
      <w:proofErr w:type="spellStart"/>
      <w:r>
        <w:rPr>
          <w:rFonts w:ascii="Times New Roman" w:eastAsia="Times New Roman" w:hAnsi="Times New Roman" w:cs="Times New Roman"/>
          <w:i/>
        </w:rPr>
        <w:t>Nazrana</w:t>
      </w:r>
      <w:proofErr w:type="spellEnd"/>
      <w:r>
        <w:rPr>
          <w:rFonts w:ascii="Times New Roman" w:eastAsia="Times New Roman" w:hAnsi="Times New Roman" w:cs="Times New Roman"/>
        </w:rPr>
        <w:t xml:space="preserve"> and revenue” (Sinha, 1964, p. 16). The colonial system brought the Adivasis in general and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in particular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“within the network of the new policy and administration” (Singh, 1983, p. 9). In the British administration a class of </w:t>
      </w:r>
      <w:r>
        <w:rPr>
          <w:rFonts w:ascii="Times New Roman" w:eastAsia="Times New Roman" w:hAnsi="Times New Roman" w:cs="Times New Roman"/>
          <w:i/>
        </w:rPr>
        <w:t>zamindars</w:t>
      </w:r>
      <w:r>
        <w:rPr>
          <w:rFonts w:ascii="Times New Roman" w:eastAsia="Times New Roman" w:hAnsi="Times New Roman" w:cs="Times New Roman"/>
        </w:rPr>
        <w:t xml:space="preserve"> came into existence. These </w:t>
      </w:r>
      <w:r>
        <w:rPr>
          <w:rFonts w:ascii="Times New Roman" w:eastAsia="Times New Roman" w:hAnsi="Times New Roman" w:cs="Times New Roman"/>
          <w:i/>
        </w:rPr>
        <w:t xml:space="preserve">zamindars </w:t>
      </w:r>
      <w:r>
        <w:rPr>
          <w:rFonts w:ascii="Times New Roman" w:eastAsia="Times New Roman" w:hAnsi="Times New Roman" w:cs="Times New Roman"/>
        </w:rPr>
        <w:t xml:space="preserve">were outsiders who were non- Adivasis. The British administration also recognized the </w:t>
      </w:r>
      <w:proofErr w:type="spellStart"/>
      <w:r>
        <w:rPr>
          <w:rFonts w:ascii="Times New Roman" w:eastAsia="Times New Roman" w:hAnsi="Times New Roman" w:cs="Times New Roman"/>
          <w:i/>
        </w:rPr>
        <w:t>Mundas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and the </w:t>
      </w:r>
      <w:proofErr w:type="spellStart"/>
      <w:r>
        <w:rPr>
          <w:rFonts w:ascii="Times New Roman" w:eastAsia="Times New Roman" w:hAnsi="Times New Roman" w:cs="Times New Roman"/>
          <w:i/>
        </w:rPr>
        <w:t>Mankis</w:t>
      </w:r>
      <w:proofErr w:type="spellEnd"/>
      <w:r>
        <w:rPr>
          <w:rFonts w:ascii="Times New Roman" w:eastAsia="Times New Roman" w:hAnsi="Times New Roman" w:cs="Times New Roman"/>
        </w:rPr>
        <w:t xml:space="preserve"> as </w:t>
      </w:r>
      <w:r>
        <w:rPr>
          <w:rFonts w:ascii="Times New Roman" w:eastAsia="Times New Roman" w:hAnsi="Times New Roman" w:cs="Times New Roman"/>
          <w:i/>
        </w:rPr>
        <w:t>zamindars</w:t>
      </w:r>
      <w:r>
        <w:rPr>
          <w:rFonts w:ascii="Times New Roman" w:eastAsia="Times New Roman" w:hAnsi="Times New Roman" w:cs="Times New Roman"/>
        </w:rPr>
        <w:t xml:space="preserve">. It “imposed a new system of taxation including rent to be paid in cash, excise and other levies, set up a market and developed trade” (Singh, 1983, p. 9-10). In return, the British Government granted the zamindars certain administrative responsibilities including police and criminal justice.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jagirdars</w:t>
      </w:r>
      <w:r>
        <w:rPr>
          <w:rFonts w:ascii="Times New Roman" w:eastAsia="Times New Roman" w:hAnsi="Times New Roman" w:cs="Times New Roman"/>
        </w:rPr>
        <w:t xml:space="preserve"> and the </w:t>
      </w:r>
      <w:r>
        <w:rPr>
          <w:rFonts w:ascii="Times New Roman" w:eastAsia="Times New Roman" w:hAnsi="Times New Roman" w:cs="Times New Roman"/>
          <w:i/>
        </w:rPr>
        <w:t>zamindars</w:t>
      </w:r>
      <w:r>
        <w:rPr>
          <w:rFonts w:ascii="Times New Roman" w:eastAsia="Times New Roman" w:hAnsi="Times New Roman" w:cs="Times New Roman"/>
        </w:rPr>
        <w:t xml:space="preserve">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were not accustomed to any regular and rigid forms of revenue payment. As a result, the revenue regulations of Lord Cornwallis were ruinous to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jagirdars</w:t>
      </w:r>
      <w:r>
        <w:rPr>
          <w:rFonts w:ascii="Times New Roman" w:eastAsia="Times New Roman" w:hAnsi="Times New Roman" w:cs="Times New Roman"/>
        </w:rPr>
        <w:t xml:space="preserve"> and the </w:t>
      </w:r>
      <w:r>
        <w:rPr>
          <w:rFonts w:ascii="Times New Roman" w:eastAsia="Times New Roman" w:hAnsi="Times New Roman" w:cs="Times New Roman"/>
          <w:i/>
        </w:rPr>
        <w:t>zamindars</w:t>
      </w:r>
      <w:r>
        <w:rPr>
          <w:rFonts w:ascii="Times New Roman" w:eastAsia="Times New Roman" w:hAnsi="Times New Roman" w:cs="Times New Roman"/>
        </w:rPr>
        <w:t xml:space="preserve">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They pooled all their resources from the poor defenceless raiyats to pay the revenue to the British Government.</w:t>
      </w:r>
    </w:p>
    <w:p w14:paraId="41F319AD"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As time passed,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and the </w:t>
      </w:r>
      <w:r>
        <w:rPr>
          <w:rFonts w:ascii="Times New Roman" w:eastAsia="Times New Roman" w:hAnsi="Times New Roman" w:cs="Times New Roman"/>
          <w:i/>
        </w:rPr>
        <w:t>zamindars</w:t>
      </w:r>
      <w:r>
        <w:rPr>
          <w:rFonts w:ascii="Times New Roman" w:eastAsia="Times New Roman" w:hAnsi="Times New Roman" w:cs="Times New Roman"/>
        </w:rPr>
        <w:t xml:space="preserve"> started grabbing the </w:t>
      </w:r>
      <w:proofErr w:type="spellStart"/>
      <w:r>
        <w:rPr>
          <w:rFonts w:ascii="Times New Roman" w:eastAsia="Times New Roman" w:hAnsi="Times New Roman" w:cs="Times New Roman"/>
          <w:i/>
        </w:rPr>
        <w:t>bhuinhari</w:t>
      </w:r>
      <w:proofErr w:type="spellEnd"/>
      <w:r>
        <w:rPr>
          <w:rFonts w:ascii="Times New Roman" w:eastAsia="Times New Roman" w:hAnsi="Times New Roman" w:cs="Times New Roman"/>
        </w:rPr>
        <w:t xml:space="preserve"> lands of the Adivasis on the strength of the </w:t>
      </w:r>
      <w:proofErr w:type="spellStart"/>
      <w:r>
        <w:rPr>
          <w:rFonts w:ascii="Times New Roman" w:eastAsia="Times New Roman" w:hAnsi="Times New Roman" w:cs="Times New Roman"/>
          <w:i/>
        </w:rPr>
        <w:t>patta</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issued by the king. They started converting </w:t>
      </w:r>
      <w:proofErr w:type="spellStart"/>
      <w:r>
        <w:rPr>
          <w:rFonts w:ascii="Times New Roman" w:eastAsia="Times New Roman" w:hAnsi="Times New Roman" w:cs="Times New Roman"/>
          <w:i/>
        </w:rPr>
        <w:lastRenderedPageBreak/>
        <w:t>bhuinhari</w:t>
      </w:r>
      <w:proofErr w:type="spellEnd"/>
      <w:r>
        <w:rPr>
          <w:rFonts w:ascii="Times New Roman" w:eastAsia="Times New Roman" w:hAnsi="Times New Roman" w:cs="Times New Roman"/>
        </w:rPr>
        <w:t xml:space="preserve"> lands into their </w:t>
      </w:r>
      <w:proofErr w:type="spellStart"/>
      <w:r>
        <w:rPr>
          <w:rFonts w:ascii="Times New Roman" w:eastAsia="Times New Roman" w:hAnsi="Times New Roman" w:cs="Times New Roman"/>
          <w:i/>
        </w:rPr>
        <w:t>majhias</w:t>
      </w:r>
      <w:proofErr w:type="spellEnd"/>
      <w:r>
        <w:rPr>
          <w:rFonts w:ascii="Times New Roman" w:eastAsia="Times New Roman" w:hAnsi="Times New Roman" w:cs="Times New Roman"/>
        </w:rPr>
        <w:t xml:space="preserve"> or the land which was to be the privilege of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and the </w:t>
      </w:r>
      <w:r>
        <w:rPr>
          <w:rFonts w:ascii="Times New Roman" w:eastAsia="Times New Roman" w:hAnsi="Times New Roman" w:cs="Times New Roman"/>
          <w:i/>
        </w:rPr>
        <w:t>zamindars</w:t>
      </w:r>
      <w:r>
        <w:rPr>
          <w:rFonts w:ascii="Times New Roman" w:eastAsia="Times New Roman" w:hAnsi="Times New Roman" w:cs="Times New Roman"/>
        </w:rPr>
        <w:t xml:space="preserve"> on the death of the </w:t>
      </w:r>
      <w:proofErr w:type="spellStart"/>
      <w:r>
        <w:rPr>
          <w:rFonts w:ascii="Times New Roman" w:eastAsia="Times New Roman" w:hAnsi="Times New Roman" w:cs="Times New Roman"/>
          <w:i/>
        </w:rPr>
        <w:t>bhuinhars</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descendents</w:t>
      </w:r>
      <w:proofErr w:type="spellEnd"/>
      <w:r>
        <w:rPr>
          <w:rFonts w:ascii="Times New Roman" w:eastAsia="Times New Roman" w:hAnsi="Times New Roman" w:cs="Times New Roman"/>
        </w:rPr>
        <w:t xml:space="preserve"> of the original settlers.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and the </w:t>
      </w:r>
      <w:r>
        <w:rPr>
          <w:rFonts w:ascii="Times New Roman" w:eastAsia="Times New Roman" w:hAnsi="Times New Roman" w:cs="Times New Roman"/>
          <w:i/>
        </w:rPr>
        <w:t>zamindars</w:t>
      </w:r>
      <w:r>
        <w:rPr>
          <w:rFonts w:ascii="Times New Roman" w:eastAsia="Times New Roman" w:hAnsi="Times New Roman" w:cs="Times New Roman"/>
        </w:rPr>
        <w:t xml:space="preserve"> employed legal means to grab the lands of the Adivasis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In the courts of law, their documentary evidences of the lands overweighed the oral submissions and unwritten traditions of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in particular and of the Adivasi in general. The courts of law were ignorant of the Mundari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land ownership system of the Adivasis. It brought a complete destruction of the Mundari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villages.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and the </w:t>
      </w:r>
      <w:r>
        <w:rPr>
          <w:rFonts w:ascii="Times New Roman" w:eastAsia="Times New Roman" w:hAnsi="Times New Roman" w:cs="Times New Roman"/>
          <w:i/>
        </w:rPr>
        <w:t>zamindars</w:t>
      </w:r>
      <w:r>
        <w:rPr>
          <w:rFonts w:ascii="Times New Roman" w:eastAsia="Times New Roman" w:hAnsi="Times New Roman" w:cs="Times New Roman"/>
        </w:rPr>
        <w:t xml:space="preserve"> changed the original voluntary subscription into rent. Earlier,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collectively and voluntarily paid subscription for the entire village to the king. With the establishment of the </w:t>
      </w:r>
      <w:r>
        <w:rPr>
          <w:rFonts w:ascii="Times New Roman" w:eastAsia="Times New Roman" w:hAnsi="Times New Roman" w:cs="Times New Roman"/>
          <w:i/>
        </w:rPr>
        <w:t>zamindari</w:t>
      </w:r>
      <w:r>
        <w:rPr>
          <w:rFonts w:ascii="Times New Roman" w:eastAsia="Times New Roman" w:hAnsi="Times New Roman" w:cs="Times New Roman"/>
        </w:rPr>
        <w:t xml:space="preserve"> system,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and the </w:t>
      </w:r>
      <w:r>
        <w:rPr>
          <w:rFonts w:ascii="Times New Roman" w:eastAsia="Times New Roman" w:hAnsi="Times New Roman" w:cs="Times New Roman"/>
          <w:i/>
        </w:rPr>
        <w:t>zamindars</w:t>
      </w:r>
      <w:r>
        <w:rPr>
          <w:rFonts w:ascii="Times New Roman" w:eastAsia="Times New Roman" w:hAnsi="Times New Roman" w:cs="Times New Roman"/>
        </w:rPr>
        <w:t xml:space="preserve"> sought to impose rent on the Adivasis to be paid individually. Hence, they legalized the status of the Adivasis as raiyats. They imposed levy on various praedial conditions and </w:t>
      </w:r>
      <w:proofErr w:type="spellStart"/>
      <w:r>
        <w:rPr>
          <w:rFonts w:ascii="Times New Roman" w:eastAsia="Times New Roman" w:hAnsi="Times New Roman" w:cs="Times New Roman"/>
          <w:i/>
        </w:rPr>
        <w:t>beth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begari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(force labour) on the Adivasis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The destruction of Mundari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land system resulted in the decay of the Munda institutions of the </w:t>
      </w:r>
      <w:proofErr w:type="spellStart"/>
      <w:r>
        <w:rPr>
          <w:rFonts w:ascii="Times New Roman" w:eastAsia="Times New Roman" w:hAnsi="Times New Roman" w:cs="Times New Roman"/>
          <w:i/>
        </w:rPr>
        <w:t>parha</w:t>
      </w:r>
      <w:proofErr w:type="spellEnd"/>
      <w:r>
        <w:rPr>
          <w:rFonts w:ascii="Times New Roman" w:eastAsia="Times New Roman" w:hAnsi="Times New Roman" w:cs="Times New Roman"/>
        </w:rPr>
        <w:t xml:space="preserve"> and </w:t>
      </w:r>
      <w:r>
        <w:rPr>
          <w:rFonts w:ascii="Times New Roman" w:eastAsia="Times New Roman" w:hAnsi="Times New Roman" w:cs="Times New Roman"/>
          <w:i/>
        </w:rPr>
        <w:t>panchayat</w:t>
      </w:r>
      <w:r>
        <w:rPr>
          <w:rFonts w:ascii="Times New Roman" w:eastAsia="Times New Roman" w:hAnsi="Times New Roman" w:cs="Times New Roman"/>
        </w:rPr>
        <w:t xml:space="preserve">.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called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and the </w:t>
      </w:r>
      <w:r>
        <w:rPr>
          <w:rFonts w:ascii="Times New Roman" w:eastAsia="Times New Roman" w:hAnsi="Times New Roman" w:cs="Times New Roman"/>
          <w:i/>
        </w:rPr>
        <w:t>zamindars</w:t>
      </w:r>
      <w:r>
        <w:rPr>
          <w:rFonts w:ascii="Times New Roman" w:eastAsia="Times New Roman" w:hAnsi="Times New Roman" w:cs="Times New Roman"/>
        </w:rPr>
        <w:t xml:space="preserve"> the </w:t>
      </w:r>
      <w:proofErr w:type="spellStart"/>
      <w:r>
        <w:rPr>
          <w:rFonts w:ascii="Times New Roman" w:eastAsia="Times New Roman" w:hAnsi="Times New Roman" w:cs="Times New Roman"/>
          <w:i/>
        </w:rPr>
        <w:t>diku</w:t>
      </w:r>
      <w:r>
        <w:rPr>
          <w:rFonts w:ascii="Times New Roman" w:eastAsia="Times New Roman" w:hAnsi="Times New Roman" w:cs="Times New Roman"/>
        </w:rPr>
        <w:t>s</w:t>
      </w:r>
      <w:proofErr w:type="spellEnd"/>
      <w:r>
        <w:rPr>
          <w:rFonts w:ascii="Times New Roman" w:eastAsia="Times New Roman" w:hAnsi="Times New Roman" w:cs="Times New Roman"/>
        </w:rPr>
        <w:t xml:space="preserve">, the outsiders. The </w:t>
      </w:r>
      <w:proofErr w:type="spellStart"/>
      <w:r>
        <w:rPr>
          <w:rFonts w:ascii="Times New Roman" w:eastAsia="Times New Roman" w:hAnsi="Times New Roman" w:cs="Times New Roman"/>
          <w:i/>
        </w:rPr>
        <w:t>dikus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replaced the </w:t>
      </w:r>
      <w:proofErr w:type="spellStart"/>
      <w:r>
        <w:rPr>
          <w:rFonts w:ascii="Times New Roman" w:eastAsia="Times New Roman" w:hAnsi="Times New Roman" w:cs="Times New Roman"/>
          <w:i/>
        </w:rPr>
        <w:t>Mundas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and </w:t>
      </w:r>
      <w:proofErr w:type="spellStart"/>
      <w:r>
        <w:rPr>
          <w:rFonts w:ascii="Times New Roman" w:eastAsia="Times New Roman" w:hAnsi="Times New Roman" w:cs="Times New Roman"/>
          <w:i/>
        </w:rPr>
        <w:t>Mankis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of the old Munda village hierarchy. “The British administration and its courts to which disputes could be referred meant the end of the </w:t>
      </w:r>
      <w:proofErr w:type="spellStart"/>
      <w:r>
        <w:rPr>
          <w:rFonts w:ascii="Times New Roman" w:eastAsia="Times New Roman" w:hAnsi="Times New Roman" w:cs="Times New Roman"/>
          <w:i/>
        </w:rPr>
        <w:t>Mankis</w:t>
      </w:r>
      <w:proofErr w:type="spellEnd"/>
      <w:r>
        <w:rPr>
          <w:rFonts w:ascii="Times New Roman" w:eastAsia="Times New Roman" w:hAnsi="Times New Roman" w:cs="Times New Roman"/>
        </w:rPr>
        <w:t xml:space="preserve"> who presided over the </w:t>
      </w:r>
      <w:proofErr w:type="spellStart"/>
      <w:r>
        <w:rPr>
          <w:rFonts w:ascii="Times New Roman" w:eastAsia="Times New Roman" w:hAnsi="Times New Roman" w:cs="Times New Roman"/>
          <w:i/>
        </w:rPr>
        <w:t>parhas</w:t>
      </w:r>
      <w:proofErr w:type="spellEnd"/>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 xml:space="preserve">(Singh, 1983, p. 15). Since the era of the British Dominion, the Adivasis revolted against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and the </w:t>
      </w:r>
      <w:r>
        <w:rPr>
          <w:rFonts w:ascii="Times New Roman" w:eastAsia="Times New Roman" w:hAnsi="Times New Roman" w:cs="Times New Roman"/>
          <w:i/>
        </w:rPr>
        <w:t>zamindars</w:t>
      </w:r>
      <w:r>
        <w:rPr>
          <w:rFonts w:ascii="Times New Roman" w:eastAsia="Times New Roman" w:hAnsi="Times New Roman" w:cs="Times New Roman"/>
        </w:rPr>
        <w:t xml:space="preserve"> and the British administration itself in 1811, 1820 and 1832. The Adivasi revolt of 1832 was suppressed with great difficulty. </w:t>
      </w:r>
    </w:p>
    <w:p w14:paraId="262CE02F"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During the days of mutiny, to prevent breach of peace and affrays the Government deputed a local </w:t>
      </w:r>
      <w:r>
        <w:rPr>
          <w:rFonts w:ascii="Times New Roman" w:eastAsia="Times New Roman" w:hAnsi="Times New Roman" w:cs="Times New Roman"/>
          <w:i/>
        </w:rPr>
        <w:t>zamindar</w:t>
      </w:r>
      <w:r>
        <w:rPr>
          <w:rFonts w:ascii="Times New Roman" w:eastAsia="Times New Roman" w:hAnsi="Times New Roman" w:cs="Times New Roman"/>
        </w:rPr>
        <w:t xml:space="preserve"> and a Sub-Assistant Commissioner to prepare a register of all </w:t>
      </w:r>
      <w:proofErr w:type="spellStart"/>
      <w:r>
        <w:rPr>
          <w:rFonts w:ascii="Times New Roman" w:eastAsia="Times New Roman" w:hAnsi="Times New Roman" w:cs="Times New Roman"/>
          <w:i/>
        </w:rPr>
        <w:t>bhuinhari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lands. However, the decision of British Government was more favourable to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and the </w:t>
      </w:r>
      <w:r>
        <w:rPr>
          <w:rFonts w:ascii="Times New Roman" w:eastAsia="Times New Roman" w:hAnsi="Times New Roman" w:cs="Times New Roman"/>
          <w:i/>
        </w:rPr>
        <w:t>zamindars</w:t>
      </w:r>
      <w:r>
        <w:rPr>
          <w:rFonts w:ascii="Times New Roman" w:eastAsia="Times New Roman" w:hAnsi="Times New Roman" w:cs="Times New Roman"/>
        </w:rPr>
        <w:t xml:space="preserve"> than to the </w:t>
      </w:r>
      <w:proofErr w:type="spellStart"/>
      <w:r>
        <w:rPr>
          <w:rFonts w:ascii="Times New Roman" w:eastAsia="Times New Roman" w:hAnsi="Times New Roman" w:cs="Times New Roman"/>
          <w:i/>
        </w:rPr>
        <w:t>bhuinhars</w:t>
      </w:r>
      <w:proofErr w:type="spellEnd"/>
      <w:r>
        <w:rPr>
          <w:rFonts w:ascii="Times New Roman" w:eastAsia="Times New Roman" w:hAnsi="Times New Roman" w:cs="Times New Roman"/>
        </w:rPr>
        <w:t xml:space="preserve">. In 1862, when the survey was discontinued disputes again broke out. During 1862-88 there were several clashes between the </w:t>
      </w:r>
      <w:r>
        <w:rPr>
          <w:rFonts w:ascii="Times New Roman" w:eastAsia="Times New Roman" w:hAnsi="Times New Roman" w:cs="Times New Roman"/>
          <w:i/>
        </w:rPr>
        <w:t>zamindars</w:t>
      </w:r>
      <w:r>
        <w:rPr>
          <w:rFonts w:ascii="Times New Roman" w:eastAsia="Times New Roman" w:hAnsi="Times New Roman" w:cs="Times New Roman"/>
        </w:rPr>
        <w:t xml:space="preserve"> and the raiyats. In September 1867, 14,000 Christians filed a petition against local officers and the Raja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In 1869 the British Government was obliged to pass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Tenure Act (Act II B.C. of 1869). “Under this Act, Special Commissioners were appointed to survey and demarcate the privileged lands” (Sinha, 1964, p. 23) of the </w:t>
      </w:r>
      <w:proofErr w:type="spellStart"/>
      <w:r>
        <w:rPr>
          <w:rFonts w:ascii="Times New Roman" w:eastAsia="Times New Roman" w:hAnsi="Times New Roman" w:cs="Times New Roman"/>
          <w:i/>
        </w:rPr>
        <w:t>bhuinhars</w:t>
      </w:r>
      <w:proofErr w:type="spellEnd"/>
      <w:r>
        <w:rPr>
          <w:rFonts w:ascii="Times New Roman" w:eastAsia="Times New Roman" w:hAnsi="Times New Roman" w:cs="Times New Roman"/>
        </w:rPr>
        <w:t xml:space="preserve"> and the </w:t>
      </w:r>
      <w:r>
        <w:rPr>
          <w:rFonts w:ascii="Times New Roman" w:eastAsia="Times New Roman" w:hAnsi="Times New Roman" w:cs="Times New Roman"/>
          <w:i/>
        </w:rPr>
        <w:t>zamindars</w:t>
      </w:r>
      <w:r>
        <w:rPr>
          <w:rFonts w:ascii="Times New Roman" w:eastAsia="Times New Roman" w:hAnsi="Times New Roman" w:cs="Times New Roman"/>
        </w:rPr>
        <w:t xml:space="preserve">. However, “its overall results fell short of the expectations of the </w:t>
      </w:r>
      <w:r>
        <w:rPr>
          <w:rFonts w:ascii="Times New Roman" w:eastAsia="Times New Roman" w:hAnsi="Times New Roman" w:cs="Times New Roman"/>
          <w:i/>
        </w:rPr>
        <w:t>Sardars</w:t>
      </w:r>
      <w:r>
        <w:rPr>
          <w:rFonts w:ascii="Times New Roman" w:eastAsia="Times New Roman" w:hAnsi="Times New Roman" w:cs="Times New Roman"/>
        </w:rPr>
        <w:t xml:space="preserve">, who would be satisfied with nothing short of restoration of all the lands of which they or their ancestors had ever held possession” (Singh, 1983, p. 33). So, the </w:t>
      </w:r>
      <w:r>
        <w:rPr>
          <w:rFonts w:ascii="Times New Roman" w:eastAsia="Times New Roman" w:hAnsi="Times New Roman" w:cs="Times New Roman"/>
          <w:i/>
        </w:rPr>
        <w:t xml:space="preserve">Sardars </w:t>
      </w:r>
      <w:r>
        <w:rPr>
          <w:rFonts w:ascii="Times New Roman" w:eastAsia="Times New Roman" w:hAnsi="Times New Roman" w:cs="Times New Roman"/>
        </w:rPr>
        <w:t xml:space="preserve">continued their </w:t>
      </w:r>
      <w:r>
        <w:rPr>
          <w:rFonts w:ascii="Times New Roman" w:eastAsia="Times New Roman" w:hAnsi="Times New Roman" w:cs="Times New Roman"/>
        </w:rPr>
        <w:lastRenderedPageBreak/>
        <w:t xml:space="preserve">agrarian agitations against the </w:t>
      </w:r>
      <w:r>
        <w:rPr>
          <w:rFonts w:ascii="Times New Roman" w:eastAsia="Times New Roman" w:hAnsi="Times New Roman" w:cs="Times New Roman"/>
          <w:i/>
        </w:rPr>
        <w:t>zamindars</w:t>
      </w:r>
      <w:r>
        <w:rPr>
          <w:rFonts w:ascii="Times New Roman" w:eastAsia="Times New Roman" w:hAnsi="Times New Roman" w:cs="Times New Roman"/>
        </w:rPr>
        <w:t xml:space="preserve"> and British Government. On May 1876, the Lutheran missionaries submitted a petition on behalf of the Adivasis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to British Government, but the missionaries were warned against entertaining the agrarian agitation of the Adivasis. Hence, the Christians were betrayed by their shepherds. They joined the </w:t>
      </w:r>
      <w:r>
        <w:rPr>
          <w:rFonts w:ascii="Times New Roman" w:eastAsia="Times New Roman" w:hAnsi="Times New Roman" w:cs="Times New Roman"/>
          <w:i/>
        </w:rPr>
        <w:t xml:space="preserve">Sardar </w:t>
      </w:r>
      <w:r>
        <w:rPr>
          <w:rFonts w:ascii="Times New Roman" w:eastAsia="Times New Roman" w:hAnsi="Times New Roman" w:cs="Times New Roman"/>
        </w:rPr>
        <w:t xml:space="preserve">movement. From 1890, the </w:t>
      </w:r>
      <w:r>
        <w:rPr>
          <w:rFonts w:ascii="Times New Roman" w:eastAsia="Times New Roman" w:hAnsi="Times New Roman" w:cs="Times New Roman"/>
          <w:i/>
        </w:rPr>
        <w:t xml:space="preserve">Sardar </w:t>
      </w:r>
      <w:r>
        <w:rPr>
          <w:rFonts w:ascii="Times New Roman" w:eastAsia="Times New Roman" w:hAnsi="Times New Roman" w:cs="Times New Roman"/>
        </w:rPr>
        <w:t xml:space="preserve">movement turned against the </w:t>
      </w:r>
      <w:r>
        <w:rPr>
          <w:rFonts w:ascii="Times New Roman" w:eastAsia="Times New Roman" w:hAnsi="Times New Roman" w:cs="Times New Roman"/>
          <w:i/>
        </w:rPr>
        <w:t>zamindars</w:t>
      </w:r>
      <w:r>
        <w:rPr>
          <w:rFonts w:ascii="Times New Roman" w:eastAsia="Times New Roman" w:hAnsi="Times New Roman" w:cs="Times New Roman"/>
        </w:rPr>
        <w:t xml:space="preserve">, British Government and the Christian missionaries. The </w:t>
      </w:r>
      <w:r>
        <w:rPr>
          <w:rFonts w:ascii="Times New Roman" w:eastAsia="Times New Roman" w:hAnsi="Times New Roman" w:cs="Times New Roman"/>
          <w:i/>
        </w:rPr>
        <w:t xml:space="preserve">Sardars </w:t>
      </w:r>
      <w:r>
        <w:rPr>
          <w:rFonts w:ascii="Times New Roman" w:eastAsia="Times New Roman" w:hAnsi="Times New Roman" w:cs="Times New Roman"/>
        </w:rPr>
        <w:t xml:space="preserve">said that they had appealed to British Government to redress their </w:t>
      </w:r>
      <w:proofErr w:type="spellStart"/>
      <w:r>
        <w:rPr>
          <w:rFonts w:ascii="Times New Roman" w:eastAsia="Times New Roman" w:hAnsi="Times New Roman" w:cs="Times New Roman"/>
        </w:rPr>
        <w:t>khuntkatti</w:t>
      </w:r>
      <w:proofErr w:type="spellEnd"/>
      <w:r>
        <w:rPr>
          <w:rFonts w:ascii="Times New Roman" w:eastAsia="Times New Roman" w:hAnsi="Times New Roman" w:cs="Times New Roman"/>
        </w:rPr>
        <w:t xml:space="preserve"> land issues and had got nothing. They had turned to the Christian missionaries, and they too had not saved them from the </w:t>
      </w:r>
      <w:proofErr w:type="spellStart"/>
      <w:r>
        <w:rPr>
          <w:rFonts w:ascii="Times New Roman" w:eastAsia="Times New Roman" w:hAnsi="Times New Roman" w:cs="Times New Roman"/>
          <w:i/>
        </w:rPr>
        <w:t>dikus</w:t>
      </w:r>
      <w:proofErr w:type="spellEnd"/>
      <w:r>
        <w:rPr>
          <w:rFonts w:ascii="Times New Roman" w:eastAsia="Times New Roman" w:hAnsi="Times New Roman" w:cs="Times New Roman"/>
        </w:rPr>
        <w:t xml:space="preserve">. The Adivasis “became convinced that they could not get justice anywhere” (Sinha, 1964, p. 24). Hence, they looked forward to the advent of a new leader from among them. “The situation was ripe for the rise of a new leader of the Munda movement” (Singh, 1983, p. 35). </w:t>
      </w:r>
    </w:p>
    <w:p w14:paraId="22A138DA" w14:textId="77777777" w:rsidR="003934E1" w:rsidRDefault="003934E1">
      <w:pPr>
        <w:spacing w:after="200" w:line="360" w:lineRule="auto"/>
        <w:jc w:val="both"/>
        <w:rPr>
          <w:rFonts w:ascii="Times New Roman" w:eastAsia="Times New Roman" w:hAnsi="Times New Roman" w:cs="Times New Roman"/>
        </w:rPr>
      </w:pPr>
    </w:p>
    <w:p w14:paraId="1E0ECB81" w14:textId="77777777" w:rsidR="003934E1" w:rsidRDefault="003934E1">
      <w:pPr>
        <w:spacing w:after="200" w:line="360" w:lineRule="auto"/>
        <w:jc w:val="both"/>
        <w:rPr>
          <w:rFonts w:ascii="Times New Roman" w:eastAsia="Times New Roman" w:hAnsi="Times New Roman" w:cs="Times New Roman"/>
        </w:rPr>
      </w:pPr>
    </w:p>
    <w:p w14:paraId="38A1D234" w14:textId="77777777" w:rsidR="003934E1" w:rsidRDefault="003934E1">
      <w:pPr>
        <w:spacing w:after="200" w:line="360" w:lineRule="auto"/>
        <w:jc w:val="both"/>
        <w:rPr>
          <w:rFonts w:ascii="Times New Roman" w:eastAsia="Times New Roman" w:hAnsi="Times New Roman" w:cs="Times New Roman"/>
        </w:rPr>
      </w:pPr>
    </w:p>
    <w:p w14:paraId="3309F387" w14:textId="77777777" w:rsidR="003934E1" w:rsidRDefault="00000000">
      <w:pPr>
        <w:spacing w:after="20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3. The Storm of Birsa </w:t>
      </w:r>
      <w:proofErr w:type="spellStart"/>
      <w:r>
        <w:rPr>
          <w:rFonts w:ascii="Times New Roman" w:eastAsia="Times New Roman" w:hAnsi="Times New Roman" w:cs="Times New Roman"/>
          <w:b/>
          <w:i/>
        </w:rPr>
        <w:t>Ulgulan</w:t>
      </w:r>
      <w:proofErr w:type="spellEnd"/>
    </w:p>
    <w:p w14:paraId="1FD04555"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When British Government put the scores of </w:t>
      </w:r>
      <w:r>
        <w:rPr>
          <w:rFonts w:ascii="Times New Roman" w:eastAsia="Times New Roman" w:hAnsi="Times New Roman" w:cs="Times New Roman"/>
          <w:i/>
        </w:rPr>
        <w:t>Sardars</w:t>
      </w:r>
      <w:r>
        <w:rPr>
          <w:rFonts w:ascii="Times New Roman" w:eastAsia="Times New Roman" w:hAnsi="Times New Roman" w:cs="Times New Roman"/>
        </w:rPr>
        <w:t xml:space="preserve"> under iron bars, the </w:t>
      </w:r>
      <w:r>
        <w:rPr>
          <w:rFonts w:ascii="Times New Roman" w:eastAsia="Times New Roman" w:hAnsi="Times New Roman" w:cs="Times New Roman"/>
          <w:i/>
        </w:rPr>
        <w:t>Sardar</w:t>
      </w:r>
      <w:r>
        <w:rPr>
          <w:rFonts w:ascii="Times New Roman" w:eastAsia="Times New Roman" w:hAnsi="Times New Roman" w:cs="Times New Roman"/>
        </w:rPr>
        <w:t xml:space="preserve"> movement subsided. There was a silence in the Munda </w:t>
      </w:r>
      <w:r>
        <w:rPr>
          <w:rFonts w:ascii="Times New Roman" w:eastAsia="Times New Roman" w:hAnsi="Times New Roman" w:cs="Times New Roman"/>
          <w:i/>
        </w:rPr>
        <w:t>Disum</w:t>
      </w:r>
      <w:r>
        <w:rPr>
          <w:rFonts w:ascii="Times New Roman" w:eastAsia="Times New Roman" w:hAnsi="Times New Roman" w:cs="Times New Roman"/>
        </w:rPr>
        <w:t xml:space="preserve">. “But behind the calm and silence lay the warning” (Sinha, 1964, p. 24) of a great storm. In other words, “the </w:t>
      </w:r>
      <w:r>
        <w:rPr>
          <w:rFonts w:ascii="Times New Roman" w:eastAsia="Times New Roman" w:hAnsi="Times New Roman" w:cs="Times New Roman"/>
          <w:i/>
        </w:rPr>
        <w:t>Sardars`</w:t>
      </w:r>
      <w:r>
        <w:rPr>
          <w:rFonts w:ascii="Times New Roman" w:eastAsia="Times New Roman" w:hAnsi="Times New Roman" w:cs="Times New Roman"/>
        </w:rPr>
        <w:t xml:space="preserve"> arrest and the suppression of the agrarian disturbances of 1889-90 might have brought peace, but as a matter of fact, the calm was an illusory calm” (Sinha, 1964, p. 44). The atmosphere was highly charged and one spark was needed to set the whole Munda </w:t>
      </w:r>
      <w:r>
        <w:rPr>
          <w:rFonts w:ascii="Times New Roman" w:eastAsia="Times New Roman" w:hAnsi="Times New Roman" w:cs="Times New Roman"/>
          <w:i/>
        </w:rPr>
        <w:t>Disum</w:t>
      </w:r>
      <w:r>
        <w:rPr>
          <w:rFonts w:ascii="Times New Roman" w:eastAsia="Times New Roman" w:hAnsi="Times New Roman" w:cs="Times New Roman"/>
        </w:rPr>
        <w:t xml:space="preserve"> ablaze. The Adivasis in general and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in particular were prepared to revolt against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and the </w:t>
      </w:r>
      <w:r>
        <w:rPr>
          <w:rFonts w:ascii="Times New Roman" w:eastAsia="Times New Roman" w:hAnsi="Times New Roman" w:cs="Times New Roman"/>
          <w:i/>
        </w:rPr>
        <w:t>zamindars,</w:t>
      </w:r>
      <w:r>
        <w:rPr>
          <w:rFonts w:ascii="Times New Roman" w:eastAsia="Times New Roman" w:hAnsi="Times New Roman" w:cs="Times New Roman"/>
        </w:rPr>
        <w:t xml:space="preserve"> British government and the Christian missionaries to restore their Mundari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land system. The revolts of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were endemic. The horrors and exploitations the Adivasis went through lit the fire of revolt against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and the </w:t>
      </w:r>
      <w:r>
        <w:rPr>
          <w:rFonts w:ascii="Times New Roman" w:eastAsia="Times New Roman" w:hAnsi="Times New Roman" w:cs="Times New Roman"/>
          <w:i/>
        </w:rPr>
        <w:t>zamindars,</w:t>
      </w:r>
      <w:r>
        <w:rPr>
          <w:rFonts w:ascii="Times New Roman" w:eastAsia="Times New Roman" w:hAnsi="Times New Roman" w:cs="Times New Roman"/>
        </w:rPr>
        <w:t xml:space="preserve"> British government and the Christian missionaries. The British Government and its officers suffered from ignorance and prejudices. The British officers seemed “to be born with the idea that the land must of necessity belonged to some great lord and never to a humble peasant. It was due to such prejudices that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lost the free possession of their fields and of their villages” (</w:t>
      </w:r>
      <w:proofErr w:type="spellStart"/>
      <w:r>
        <w:rPr>
          <w:rFonts w:ascii="Times New Roman" w:eastAsia="Times New Roman" w:hAnsi="Times New Roman" w:cs="Times New Roman"/>
        </w:rPr>
        <w:t>Ponette</w:t>
      </w:r>
      <w:proofErr w:type="spellEnd"/>
      <w:r>
        <w:rPr>
          <w:rFonts w:ascii="Times New Roman" w:eastAsia="Times New Roman" w:hAnsi="Times New Roman" w:cs="Times New Roman"/>
        </w:rPr>
        <w:t xml:space="preserve">, 2020, p. 8). Their ignorance and prejudices of the Adivasi language, customs and complex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land system added fuel to the fire in the revolts of the Adivasis </w:t>
      </w:r>
      <w:r>
        <w:rPr>
          <w:rFonts w:ascii="Times New Roman" w:eastAsia="Times New Roman" w:hAnsi="Times New Roman" w:cs="Times New Roman"/>
        </w:rPr>
        <w:lastRenderedPageBreak/>
        <w:t xml:space="preserve">in general and of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in particular.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held meetings in hills and forests, and gradually drew over their side not only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but also the </w:t>
      </w:r>
      <w:proofErr w:type="spellStart"/>
      <w:r>
        <w:rPr>
          <w:rFonts w:ascii="Times New Roman" w:eastAsia="Times New Roman" w:hAnsi="Times New Roman" w:cs="Times New Roman"/>
        </w:rPr>
        <w:t>Oraons</w:t>
      </w:r>
      <w:proofErr w:type="spellEnd"/>
      <w:r>
        <w:rPr>
          <w:rFonts w:ascii="Times New Roman" w:eastAsia="Times New Roman" w:hAnsi="Times New Roman" w:cs="Times New Roman"/>
        </w:rPr>
        <w:t xml:space="preserve"> of the whole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In 1895, an illusory calm before the storm was broken when Birsa Munda of </w:t>
      </w:r>
      <w:proofErr w:type="spellStart"/>
      <w:r>
        <w:rPr>
          <w:rFonts w:ascii="Times New Roman" w:eastAsia="Times New Roman" w:hAnsi="Times New Roman" w:cs="Times New Roman"/>
        </w:rPr>
        <w:t>Chalkad</w:t>
      </w:r>
      <w:proofErr w:type="spellEnd"/>
      <w:r>
        <w:rPr>
          <w:rFonts w:ascii="Times New Roman" w:eastAsia="Times New Roman" w:hAnsi="Times New Roman" w:cs="Times New Roman"/>
        </w:rPr>
        <w:t xml:space="preserve"> came to lead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“who had been chafing under the iron heels” (Sinha, 1964, p. 44) of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and the </w:t>
      </w:r>
      <w:r>
        <w:rPr>
          <w:rFonts w:ascii="Times New Roman" w:eastAsia="Times New Roman" w:hAnsi="Times New Roman" w:cs="Times New Roman"/>
          <w:i/>
        </w:rPr>
        <w:t>zamindars,</w:t>
      </w:r>
      <w:r>
        <w:rPr>
          <w:rFonts w:ascii="Times New Roman" w:eastAsia="Times New Roman" w:hAnsi="Times New Roman" w:cs="Times New Roman"/>
        </w:rPr>
        <w:t xml:space="preserve"> British government and the Christian missionaries. He was a young man of 20 years. He was trained in the Lutheran and Anglican schools. “In him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found the embodiment of their expectations and Birsa Munda fulfilled their expectation by giving them a leadership, a religion and a code of life, and held before them a prospect of Munda” (Sinha, 1964, p. 44) </w:t>
      </w:r>
      <w:r>
        <w:rPr>
          <w:rFonts w:ascii="Times New Roman" w:eastAsia="Times New Roman" w:hAnsi="Times New Roman" w:cs="Times New Roman"/>
          <w:i/>
        </w:rPr>
        <w:t>Disum</w:t>
      </w:r>
      <w:r>
        <w:rPr>
          <w:rFonts w:ascii="Times New Roman" w:eastAsia="Times New Roman" w:hAnsi="Times New Roman" w:cs="Times New Roman"/>
        </w:rPr>
        <w:t xml:space="preserve">. He united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to revolt against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and the </w:t>
      </w:r>
      <w:r>
        <w:rPr>
          <w:rFonts w:ascii="Times New Roman" w:eastAsia="Times New Roman" w:hAnsi="Times New Roman" w:cs="Times New Roman"/>
          <w:i/>
        </w:rPr>
        <w:t>zamindars,</w:t>
      </w:r>
      <w:r>
        <w:rPr>
          <w:rFonts w:ascii="Times New Roman" w:eastAsia="Times New Roman" w:hAnsi="Times New Roman" w:cs="Times New Roman"/>
        </w:rPr>
        <w:t xml:space="preserve"> British government and the Christian missionaries to restore Adivasi pride, the Mundari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land system, and the Adivasi </w:t>
      </w:r>
      <w:proofErr w:type="spellStart"/>
      <w:r>
        <w:rPr>
          <w:rFonts w:ascii="Times New Roman" w:eastAsia="Times New Roman" w:hAnsi="Times New Roman" w:cs="Times New Roman"/>
          <w:i/>
        </w:rPr>
        <w:t>parha</w:t>
      </w:r>
      <w:proofErr w:type="spellEnd"/>
      <w:r>
        <w:rPr>
          <w:rFonts w:ascii="Times New Roman" w:eastAsia="Times New Roman" w:hAnsi="Times New Roman" w:cs="Times New Roman"/>
        </w:rPr>
        <w:t xml:space="preserve"> and </w:t>
      </w:r>
      <w:r>
        <w:rPr>
          <w:rFonts w:ascii="Times New Roman" w:eastAsia="Times New Roman" w:hAnsi="Times New Roman" w:cs="Times New Roman"/>
          <w:i/>
        </w:rPr>
        <w:t>panchayat</w:t>
      </w:r>
      <w:r>
        <w:rPr>
          <w:rFonts w:ascii="Times New Roman" w:eastAsia="Times New Roman" w:hAnsi="Times New Roman" w:cs="Times New Roman"/>
        </w:rPr>
        <w:t xml:space="preserve"> system. He persuaded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to fight against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and the </w:t>
      </w:r>
      <w:r>
        <w:rPr>
          <w:rFonts w:ascii="Times New Roman" w:eastAsia="Times New Roman" w:hAnsi="Times New Roman" w:cs="Times New Roman"/>
          <w:i/>
        </w:rPr>
        <w:t>zamindars,</w:t>
      </w:r>
      <w:r>
        <w:rPr>
          <w:rFonts w:ascii="Times New Roman" w:eastAsia="Times New Roman" w:hAnsi="Times New Roman" w:cs="Times New Roman"/>
        </w:rPr>
        <w:t xml:space="preserve"> British government and the Christian missionaries to abolish the revenue regulations of British Government and </w:t>
      </w:r>
      <w:proofErr w:type="spellStart"/>
      <w:r>
        <w:rPr>
          <w:rFonts w:ascii="Times New Roman" w:eastAsia="Times New Roman" w:hAnsi="Times New Roman" w:cs="Times New Roman"/>
          <w:i/>
        </w:rPr>
        <w:t>beth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begari</w:t>
      </w:r>
      <w:proofErr w:type="spellEnd"/>
      <w:r>
        <w:rPr>
          <w:rFonts w:ascii="Times New Roman" w:eastAsia="Times New Roman" w:hAnsi="Times New Roman" w:cs="Times New Roman"/>
        </w:rPr>
        <w:t xml:space="preserve">. He advised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to fight against the </w:t>
      </w:r>
      <w:proofErr w:type="spellStart"/>
      <w:r>
        <w:rPr>
          <w:rFonts w:ascii="Times New Roman" w:eastAsia="Times New Roman" w:hAnsi="Times New Roman" w:cs="Times New Roman"/>
        </w:rPr>
        <w:t>dikus</w:t>
      </w:r>
      <w:proofErr w:type="spellEnd"/>
      <w:r>
        <w:rPr>
          <w:rFonts w:ascii="Times New Roman" w:eastAsia="Times New Roman" w:hAnsi="Times New Roman" w:cs="Times New Roman"/>
        </w:rPr>
        <w:t xml:space="preserve">, British Government and the Christian Missionaries for the recognition of their </w:t>
      </w:r>
      <w:proofErr w:type="spellStart"/>
      <w:r>
        <w:rPr>
          <w:rFonts w:ascii="Times New Roman" w:eastAsia="Times New Roman" w:hAnsi="Times New Roman" w:cs="Times New Roman"/>
          <w:i/>
        </w:rPr>
        <w:t>sasan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diri</w:t>
      </w:r>
      <w:proofErr w:type="spellEnd"/>
      <w:r>
        <w:rPr>
          <w:rFonts w:ascii="Times New Roman" w:eastAsia="Times New Roman" w:hAnsi="Times New Roman" w:cs="Times New Roman"/>
        </w:rPr>
        <w:t xml:space="preserve"> (tomb-stones) as the title-deeds of their Mundari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land. </w:t>
      </w:r>
    </w:p>
    <w:p w14:paraId="140085B4"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Birsa Munda advised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to defy the British Government officers telling them that the Munda Raj had commenced. He issued an injunction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“were to pay no rent in future and were to hold their land rent free” (Sinha, 1964, p. 56). He persuaded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Oraons</w:t>
      </w:r>
      <w:proofErr w:type="spellEnd"/>
      <w:r>
        <w:rPr>
          <w:rFonts w:ascii="Times New Roman" w:eastAsia="Times New Roman" w:hAnsi="Times New Roman" w:cs="Times New Roman"/>
        </w:rPr>
        <w:t xml:space="preserve"> “that he was given by God himself the task of liberating the people and of instituting a new religion” (Tete, 1986, p. 34). “The </w:t>
      </w:r>
      <w:proofErr w:type="spellStart"/>
      <w:r>
        <w:rPr>
          <w:rFonts w:ascii="Times New Roman" w:eastAsia="Times New Roman" w:hAnsi="Times New Roman" w:cs="Times New Roman"/>
        </w:rPr>
        <w:t>banias</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Murhu</w:t>
      </w:r>
      <w:proofErr w:type="spellEnd"/>
      <w:r>
        <w:rPr>
          <w:rFonts w:ascii="Times New Roman" w:eastAsia="Times New Roman" w:hAnsi="Times New Roman" w:cs="Times New Roman"/>
        </w:rPr>
        <w:t xml:space="preserve"> became one of the targets of his attacks. In one of his meetings he raised voice against the exploiters of his race” (Singh, 1983, p. 59). His anger was directed against the </w:t>
      </w:r>
      <w:proofErr w:type="spellStart"/>
      <w:r>
        <w:rPr>
          <w:rFonts w:ascii="Times New Roman" w:eastAsia="Times New Roman" w:hAnsi="Times New Roman" w:cs="Times New Roman"/>
          <w:i/>
        </w:rPr>
        <w:t>dikus</w:t>
      </w:r>
      <w:proofErr w:type="spellEnd"/>
      <w:r>
        <w:rPr>
          <w:rFonts w:ascii="Times New Roman" w:eastAsia="Times New Roman" w:hAnsi="Times New Roman" w:cs="Times New Roman"/>
        </w:rPr>
        <w:t xml:space="preserve"> exploiters. Birsa Munda “had planned to begin his assault from </w:t>
      </w:r>
      <w:proofErr w:type="spellStart"/>
      <w:r>
        <w:rPr>
          <w:rFonts w:ascii="Times New Roman" w:eastAsia="Times New Roman" w:hAnsi="Times New Roman" w:cs="Times New Roman"/>
        </w:rPr>
        <w:t>Sarwada</w:t>
      </w:r>
      <w:proofErr w:type="spellEnd"/>
      <w:r>
        <w:rPr>
          <w:rFonts w:ascii="Times New Roman" w:eastAsia="Times New Roman" w:hAnsi="Times New Roman" w:cs="Times New Roman"/>
        </w:rPr>
        <w:t xml:space="preserve">” (Tete, 1986, p. 35). In August 1895, he had gathered 6000 of his armed followers in </w:t>
      </w:r>
      <w:proofErr w:type="spellStart"/>
      <w:r>
        <w:rPr>
          <w:rFonts w:ascii="Times New Roman" w:eastAsia="Times New Roman" w:hAnsi="Times New Roman" w:cs="Times New Roman"/>
        </w:rPr>
        <w:t>Chalkad</w:t>
      </w:r>
      <w:proofErr w:type="spellEnd"/>
      <w:r>
        <w:rPr>
          <w:rFonts w:ascii="Times New Roman" w:eastAsia="Times New Roman" w:hAnsi="Times New Roman" w:cs="Times New Roman"/>
        </w:rPr>
        <w:t xml:space="preserve">. It was a village situated at 15 kms from </w:t>
      </w:r>
      <w:proofErr w:type="spellStart"/>
      <w:r>
        <w:rPr>
          <w:rFonts w:ascii="Times New Roman" w:eastAsia="Times New Roman" w:hAnsi="Times New Roman" w:cs="Times New Roman"/>
        </w:rPr>
        <w:t>Sarwada</w:t>
      </w:r>
      <w:proofErr w:type="spellEnd"/>
      <w:r>
        <w:rPr>
          <w:rFonts w:ascii="Times New Roman" w:eastAsia="Times New Roman" w:hAnsi="Times New Roman" w:cs="Times New Roman"/>
        </w:rPr>
        <w:t xml:space="preserve">. They planned to attack the Catholic Church </w:t>
      </w:r>
      <w:proofErr w:type="spellStart"/>
      <w:r>
        <w:rPr>
          <w:rFonts w:ascii="Times New Roman" w:eastAsia="Times New Roman" w:hAnsi="Times New Roman" w:cs="Times New Roman"/>
        </w:rPr>
        <w:t>Sarwada</w:t>
      </w:r>
      <w:proofErr w:type="spellEnd"/>
      <w:r>
        <w:rPr>
          <w:rFonts w:ascii="Times New Roman" w:eastAsia="Times New Roman" w:hAnsi="Times New Roman" w:cs="Times New Roman"/>
        </w:rPr>
        <w:t xml:space="preserve">. Birsa Munda promised his followers that the fire of heaven would at any moment destroy his enemies. He revealed his decision to start with the massacre of all Europeans to his followers. The missionaries of </w:t>
      </w:r>
      <w:proofErr w:type="spellStart"/>
      <w:r>
        <w:rPr>
          <w:rFonts w:ascii="Times New Roman" w:eastAsia="Times New Roman" w:hAnsi="Times New Roman" w:cs="Times New Roman"/>
        </w:rPr>
        <w:t>Sarwada</w:t>
      </w:r>
      <w:proofErr w:type="spellEnd"/>
      <w:r>
        <w:rPr>
          <w:rFonts w:ascii="Times New Roman" w:eastAsia="Times New Roman" w:hAnsi="Times New Roman" w:cs="Times New Roman"/>
        </w:rPr>
        <w:t xml:space="preserve"> were the first target of his attacks. Birsa Munda “turned out the head constable of police-station of Tamar, his strap thrown into the river and he was chased away from the village </w:t>
      </w:r>
      <w:proofErr w:type="spellStart"/>
      <w:r>
        <w:rPr>
          <w:rFonts w:ascii="Times New Roman" w:eastAsia="Times New Roman" w:hAnsi="Times New Roman" w:cs="Times New Roman"/>
        </w:rPr>
        <w:t>Chalkad</w:t>
      </w:r>
      <w:proofErr w:type="spellEnd"/>
      <w:r>
        <w:rPr>
          <w:rFonts w:ascii="Times New Roman" w:eastAsia="Times New Roman" w:hAnsi="Times New Roman" w:cs="Times New Roman"/>
        </w:rPr>
        <w:t xml:space="preserve">” (Sinha, 1964, p. 57). On the 22 August, 1895, Lieut. Col. A. Evans- Gordan, Deputy Commissioner of </w:t>
      </w:r>
      <w:proofErr w:type="spellStart"/>
      <w:r>
        <w:rPr>
          <w:rFonts w:ascii="Times New Roman" w:eastAsia="Times New Roman" w:hAnsi="Times New Roman" w:cs="Times New Roman"/>
        </w:rPr>
        <w:t>Lohardaga</w:t>
      </w:r>
      <w:proofErr w:type="spellEnd"/>
      <w:r>
        <w:rPr>
          <w:rFonts w:ascii="Times New Roman" w:eastAsia="Times New Roman" w:hAnsi="Times New Roman" w:cs="Times New Roman"/>
        </w:rPr>
        <w:t xml:space="preserve">, communicated an order to Mr. Meares, the District Superintendent of Police to arrest Birsa </w:t>
      </w:r>
      <w:r>
        <w:rPr>
          <w:rFonts w:ascii="Times New Roman" w:eastAsia="Times New Roman" w:hAnsi="Times New Roman" w:cs="Times New Roman"/>
        </w:rPr>
        <w:lastRenderedPageBreak/>
        <w:t xml:space="preserve">Munda under sections 353 and 505 of Indian Penal Code. On the eve of the planned attack at the Catholic Church </w:t>
      </w:r>
      <w:proofErr w:type="spellStart"/>
      <w:r>
        <w:rPr>
          <w:rFonts w:ascii="Times New Roman" w:eastAsia="Times New Roman" w:hAnsi="Times New Roman" w:cs="Times New Roman"/>
        </w:rPr>
        <w:t>Sarwada</w:t>
      </w:r>
      <w:proofErr w:type="spellEnd"/>
      <w:r>
        <w:rPr>
          <w:rFonts w:ascii="Times New Roman" w:eastAsia="Times New Roman" w:hAnsi="Times New Roman" w:cs="Times New Roman"/>
        </w:rPr>
        <w:t xml:space="preserve">, Mr. Meares with a pose of twenty men arrested Birsa Munda. Birsa Munda was bound and taken to Ranchi. Seven of his staunch followers were also arrested. On October 24, 1895, Birsa Munda “was brought under police escort to the </w:t>
      </w:r>
      <w:proofErr w:type="spellStart"/>
      <w:r>
        <w:rPr>
          <w:rFonts w:ascii="Times New Roman" w:eastAsia="Times New Roman" w:hAnsi="Times New Roman" w:cs="Times New Roman"/>
        </w:rPr>
        <w:t>Khunti</w:t>
      </w:r>
      <w:proofErr w:type="spellEnd"/>
      <w:r>
        <w:rPr>
          <w:rFonts w:ascii="Times New Roman" w:eastAsia="Times New Roman" w:hAnsi="Times New Roman" w:cs="Times New Roman"/>
        </w:rPr>
        <w:t xml:space="preserve"> police station. A large crowd had gathered to see him and his close disciples numbering about twenty or thirty come in their best clothes and unarmed to pay him their homage” (Tete, 1986, p. 37). On 19 November, 1895, Birsa Munda and his followers were convicted under sections 505 of Indian Penal Code on the charge of rioting and sentenced to a rigorous imprisonment of two years. He was also sentenced to the payment of a fine of Rs. 50 in default of which he was to undergo an additional term of rigorous imprisonment for six months. His followers were fined Rs. 20 each and in default to undergo rigorous imprisonment for three months. </w:t>
      </w:r>
    </w:p>
    <w:p w14:paraId="73160A3A"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movement of 1895 was an unfinished story” (Singh, 1983, p. 75). It was the beginning of a widespread movement. Birsa Munda was released from the jail on 30 November, 1897. He was “taken to </w:t>
      </w:r>
      <w:proofErr w:type="spellStart"/>
      <w:r>
        <w:rPr>
          <w:rFonts w:ascii="Times New Roman" w:eastAsia="Times New Roman" w:hAnsi="Times New Roman" w:cs="Times New Roman"/>
        </w:rPr>
        <w:t>Chalkad</w:t>
      </w:r>
      <w:proofErr w:type="spellEnd"/>
      <w:r>
        <w:rPr>
          <w:rFonts w:ascii="Times New Roman" w:eastAsia="Times New Roman" w:hAnsi="Times New Roman" w:cs="Times New Roman"/>
        </w:rPr>
        <w:t xml:space="preserve"> by the police and warned not to indulge in his old activities” (Singh, 1983, p. 80). However, beneath the placid surface current ran deep. “Within a few days of his arrival, his followers met him at </w:t>
      </w:r>
      <w:proofErr w:type="spellStart"/>
      <w:r>
        <w:rPr>
          <w:rFonts w:ascii="Times New Roman" w:eastAsia="Times New Roman" w:hAnsi="Times New Roman" w:cs="Times New Roman"/>
        </w:rPr>
        <w:t>Chalkad</w:t>
      </w:r>
      <w:proofErr w:type="spellEnd"/>
      <w:r>
        <w:rPr>
          <w:rFonts w:ascii="Times New Roman" w:eastAsia="Times New Roman" w:hAnsi="Times New Roman" w:cs="Times New Roman"/>
        </w:rPr>
        <w:t xml:space="preserve"> and pleaded him for setting up an organization which was necessary to recover their lost rights and drive out their enemies” (Singh, 1983, p. 81). In a meeting at </w:t>
      </w:r>
      <w:proofErr w:type="spellStart"/>
      <w:r>
        <w:rPr>
          <w:rFonts w:ascii="Times New Roman" w:eastAsia="Times New Roman" w:hAnsi="Times New Roman" w:cs="Times New Roman"/>
        </w:rPr>
        <w:t>Bortodih</w:t>
      </w:r>
      <w:proofErr w:type="spellEnd"/>
      <w:r>
        <w:rPr>
          <w:rFonts w:ascii="Times New Roman" w:eastAsia="Times New Roman" w:hAnsi="Times New Roman" w:cs="Times New Roman"/>
        </w:rPr>
        <w:t xml:space="preserve">, they decided to organize the revolt against the </w:t>
      </w:r>
      <w:proofErr w:type="spellStart"/>
      <w:r>
        <w:rPr>
          <w:rFonts w:ascii="Times New Roman" w:eastAsia="Times New Roman" w:hAnsi="Times New Roman" w:cs="Times New Roman"/>
          <w:i/>
        </w:rPr>
        <w:t>dikus</w:t>
      </w:r>
      <w:proofErr w:type="spellEnd"/>
      <w:r>
        <w:rPr>
          <w:rFonts w:ascii="Times New Roman" w:eastAsia="Times New Roman" w:hAnsi="Times New Roman" w:cs="Times New Roman"/>
        </w:rPr>
        <w:t xml:space="preserve">, British government and the Christian missionaries. In February 1898, a representative gathering of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was organized at </w:t>
      </w:r>
      <w:proofErr w:type="spellStart"/>
      <w:r>
        <w:rPr>
          <w:rFonts w:ascii="Times New Roman" w:eastAsia="Times New Roman" w:hAnsi="Times New Roman" w:cs="Times New Roman"/>
        </w:rPr>
        <w:t>Dombari</w:t>
      </w:r>
      <w:proofErr w:type="spellEnd"/>
      <w:r>
        <w:rPr>
          <w:rFonts w:ascii="Times New Roman" w:eastAsia="Times New Roman" w:hAnsi="Times New Roman" w:cs="Times New Roman"/>
        </w:rPr>
        <w:t xml:space="preserve">. The gathering of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decided to apply the violent methods to win back their kingdom. Several meetings of the Adivasis in general and of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in particular were held before the uprisings. “Meetings were held all over the Munda region and even beyond in Basia, Sisai, </w:t>
      </w:r>
      <w:proofErr w:type="spellStart"/>
      <w:r>
        <w:rPr>
          <w:rFonts w:ascii="Times New Roman" w:eastAsia="Times New Roman" w:hAnsi="Times New Roman" w:cs="Times New Roman"/>
        </w:rPr>
        <w:t>Kolebira</w:t>
      </w:r>
      <w:proofErr w:type="spellEnd"/>
      <w:r>
        <w:rPr>
          <w:rFonts w:ascii="Times New Roman" w:eastAsia="Times New Roman" w:hAnsi="Times New Roman" w:cs="Times New Roman"/>
        </w:rPr>
        <w:t xml:space="preserve">, Bano, </w:t>
      </w:r>
      <w:proofErr w:type="spellStart"/>
      <w:r>
        <w:rPr>
          <w:rFonts w:ascii="Times New Roman" w:eastAsia="Times New Roman" w:hAnsi="Times New Roman" w:cs="Times New Roman"/>
        </w:rPr>
        <w:t>Lohardaga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Torpa</w:t>
      </w:r>
      <w:proofErr w:type="spellEnd"/>
      <w:r>
        <w:rPr>
          <w:rFonts w:ascii="Times New Roman" w:eastAsia="Times New Roman" w:hAnsi="Times New Roman" w:cs="Times New Roman"/>
        </w:rPr>
        <w:t xml:space="preserve">, Karra, </w:t>
      </w:r>
      <w:proofErr w:type="spellStart"/>
      <w:r>
        <w:rPr>
          <w:rFonts w:ascii="Times New Roman" w:eastAsia="Times New Roman" w:hAnsi="Times New Roman" w:cs="Times New Roman"/>
        </w:rPr>
        <w:t>Khunti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Murhu</w:t>
      </w:r>
      <w:proofErr w:type="spellEnd"/>
      <w:r>
        <w:rPr>
          <w:rFonts w:ascii="Times New Roman" w:eastAsia="Times New Roman" w:hAnsi="Times New Roman" w:cs="Times New Roman"/>
        </w:rPr>
        <w:t xml:space="preserve">, Tamar, Bundu, </w:t>
      </w:r>
      <w:proofErr w:type="spellStart"/>
      <w:r>
        <w:rPr>
          <w:rFonts w:ascii="Times New Roman" w:eastAsia="Times New Roman" w:hAnsi="Times New Roman" w:cs="Times New Roman"/>
        </w:rPr>
        <w:t>Sonahatu</w:t>
      </w:r>
      <w:proofErr w:type="spellEnd"/>
      <w:r>
        <w:rPr>
          <w:rFonts w:ascii="Times New Roman" w:eastAsia="Times New Roman" w:hAnsi="Times New Roman" w:cs="Times New Roman"/>
        </w:rPr>
        <w:t xml:space="preserve"> and the </w:t>
      </w:r>
      <w:proofErr w:type="spellStart"/>
      <w:r>
        <w:rPr>
          <w:rFonts w:ascii="Times New Roman" w:eastAsia="Times New Roman" w:hAnsi="Times New Roman" w:cs="Times New Roman"/>
        </w:rPr>
        <w:t>Porahat</w:t>
      </w:r>
      <w:proofErr w:type="spellEnd"/>
      <w:r>
        <w:rPr>
          <w:rFonts w:ascii="Times New Roman" w:eastAsia="Times New Roman" w:hAnsi="Times New Roman" w:cs="Times New Roman"/>
        </w:rPr>
        <w:t xml:space="preserve"> area of </w:t>
      </w:r>
      <w:proofErr w:type="spellStart"/>
      <w:r>
        <w:rPr>
          <w:rFonts w:ascii="Times New Roman" w:eastAsia="Times New Roman" w:hAnsi="Times New Roman" w:cs="Times New Roman"/>
        </w:rPr>
        <w:t>Singbhum</w:t>
      </w:r>
      <w:proofErr w:type="spellEnd"/>
      <w:r>
        <w:rPr>
          <w:rFonts w:ascii="Times New Roman" w:eastAsia="Times New Roman" w:hAnsi="Times New Roman" w:cs="Times New Roman"/>
        </w:rPr>
        <w:t xml:space="preserve">” (Singh, 1983, p. 90). In October- November 1899, another meeting was held which marked the beginning of the intense phase of preparations for the uprisings. The establishment of Munda Raj was the supreme political end of the uprisings. On Christmas Eve of 1899, the followers of Birsa set fire to a hut where the building materials for the Catholic Church </w:t>
      </w:r>
      <w:proofErr w:type="spellStart"/>
      <w:r>
        <w:rPr>
          <w:rFonts w:ascii="Times New Roman" w:eastAsia="Times New Roman" w:hAnsi="Times New Roman" w:cs="Times New Roman"/>
        </w:rPr>
        <w:t>Sarwada</w:t>
      </w:r>
      <w:proofErr w:type="spellEnd"/>
      <w:r>
        <w:rPr>
          <w:rFonts w:ascii="Times New Roman" w:eastAsia="Times New Roman" w:hAnsi="Times New Roman" w:cs="Times New Roman"/>
        </w:rPr>
        <w:t xml:space="preserve"> had been stocked to frighten the Catholics who did not join the second insurrection. Some of his followers approached the Catholic Church </w:t>
      </w:r>
      <w:proofErr w:type="spellStart"/>
      <w:r>
        <w:rPr>
          <w:rFonts w:ascii="Times New Roman" w:eastAsia="Times New Roman" w:hAnsi="Times New Roman" w:cs="Times New Roman"/>
        </w:rPr>
        <w:t>Sarwada</w:t>
      </w:r>
      <w:proofErr w:type="spellEnd"/>
      <w:r>
        <w:rPr>
          <w:rFonts w:ascii="Times New Roman" w:eastAsia="Times New Roman" w:hAnsi="Times New Roman" w:cs="Times New Roman"/>
        </w:rPr>
        <w:t xml:space="preserve">, pretending to have come to listen to the carols, and shot arrows over and at the Christians. “After the incident of Christmas Eve 1899, the Deputy Commissioner decided to comb the forest of </w:t>
      </w:r>
      <w:proofErr w:type="spellStart"/>
      <w:r>
        <w:rPr>
          <w:rFonts w:ascii="Times New Roman" w:eastAsia="Times New Roman" w:hAnsi="Times New Roman" w:cs="Times New Roman"/>
        </w:rPr>
        <w:t>Porahat</w:t>
      </w:r>
      <w:proofErr w:type="spellEnd"/>
      <w:r>
        <w:rPr>
          <w:rFonts w:ascii="Times New Roman" w:eastAsia="Times New Roman" w:hAnsi="Times New Roman" w:cs="Times New Roman"/>
        </w:rPr>
        <w:t xml:space="preserve"> in order to arrest Birsa” (Tete, 1986, p. 49) Munda. The followers of Birsa Munda burned down the Christian villages and shot arrows at the Christian </w:t>
      </w:r>
      <w:proofErr w:type="spellStart"/>
      <w:r>
        <w:rPr>
          <w:rFonts w:ascii="Times New Roman" w:eastAsia="Times New Roman" w:hAnsi="Times New Roman" w:cs="Times New Roman"/>
        </w:rPr>
        <w:lastRenderedPageBreak/>
        <w:t>Mundas</w:t>
      </w:r>
      <w:proofErr w:type="spellEnd"/>
      <w:r>
        <w:rPr>
          <w:rFonts w:ascii="Times New Roman" w:eastAsia="Times New Roman" w:hAnsi="Times New Roman" w:cs="Times New Roman"/>
        </w:rPr>
        <w:t xml:space="preserve">. Day after day Birsa Munda and his followers became more violent. Birsa Munda “directed his attacks to British Government and Police stations” (Tete, 1986, p. 49). “The </w:t>
      </w:r>
      <w:proofErr w:type="spellStart"/>
      <w:r>
        <w:rPr>
          <w:rFonts w:ascii="Times New Roman" w:eastAsia="Times New Roman" w:hAnsi="Times New Roman" w:cs="Times New Roman"/>
        </w:rPr>
        <w:t>Khunti</w:t>
      </w:r>
      <w:proofErr w:type="spellEnd"/>
      <w:r>
        <w:rPr>
          <w:rFonts w:ascii="Times New Roman" w:eastAsia="Times New Roman" w:hAnsi="Times New Roman" w:cs="Times New Roman"/>
        </w:rPr>
        <w:t xml:space="preserve"> Police station was subjected to an attack (Tete, 1986, p. 50) during which one of the constables was killed. “In the </w:t>
      </w:r>
      <w:proofErr w:type="spellStart"/>
      <w:r>
        <w:rPr>
          <w:rFonts w:ascii="Times New Roman" w:eastAsia="Times New Roman" w:hAnsi="Times New Roman" w:cs="Times New Roman"/>
        </w:rPr>
        <w:t>Porahat</w:t>
      </w:r>
      <w:proofErr w:type="spellEnd"/>
      <w:r>
        <w:rPr>
          <w:rFonts w:ascii="Times New Roman" w:eastAsia="Times New Roman" w:hAnsi="Times New Roman" w:cs="Times New Roman"/>
        </w:rPr>
        <w:t xml:space="preserve"> area of </w:t>
      </w:r>
      <w:proofErr w:type="spellStart"/>
      <w:r>
        <w:rPr>
          <w:rFonts w:ascii="Times New Roman" w:eastAsia="Times New Roman" w:hAnsi="Times New Roman" w:cs="Times New Roman"/>
        </w:rPr>
        <w:t>Singhbhum</w:t>
      </w:r>
      <w:proofErr w:type="spellEnd"/>
      <w:r>
        <w:rPr>
          <w:rFonts w:ascii="Times New Roman" w:eastAsia="Times New Roman" w:hAnsi="Times New Roman" w:cs="Times New Roman"/>
        </w:rPr>
        <w:t xml:space="preserve"> there were more cases of arson than just arrow-shooting” (Singh, 1983, p. 102). On December 29, 1899, “H.C. Streatfield, the Deputy Commissioner of Ranchi, accompanied by Captain Roche and a body of troops started for the scene of outrage” (Singh, 1983, p. 103).  He planned to arrest Birsa Munda and restore peace and security in the Munda </w:t>
      </w:r>
      <w:r>
        <w:rPr>
          <w:rFonts w:ascii="Times New Roman" w:eastAsia="Times New Roman" w:hAnsi="Times New Roman" w:cs="Times New Roman"/>
          <w:i/>
        </w:rPr>
        <w:t>Disum</w:t>
      </w:r>
      <w:r>
        <w:rPr>
          <w:rFonts w:ascii="Times New Roman" w:eastAsia="Times New Roman" w:hAnsi="Times New Roman" w:cs="Times New Roman"/>
        </w:rPr>
        <w:t xml:space="preserve">. A search for Birsa Munda in the forests of </w:t>
      </w:r>
      <w:proofErr w:type="spellStart"/>
      <w:r>
        <w:rPr>
          <w:rFonts w:ascii="Times New Roman" w:eastAsia="Times New Roman" w:hAnsi="Times New Roman" w:cs="Times New Roman"/>
        </w:rPr>
        <w:t>Porahat</w:t>
      </w:r>
      <w:proofErr w:type="spellEnd"/>
      <w:r>
        <w:rPr>
          <w:rFonts w:ascii="Times New Roman" w:eastAsia="Times New Roman" w:hAnsi="Times New Roman" w:cs="Times New Roman"/>
        </w:rPr>
        <w:t xml:space="preserve"> was launched from 4 to 6 January, 1900. On 9 January, 1900, it was established that Birsa Munda and his followers had hid themselves on Sail </w:t>
      </w:r>
      <w:proofErr w:type="spellStart"/>
      <w:r>
        <w:rPr>
          <w:rFonts w:ascii="Times New Roman" w:eastAsia="Times New Roman" w:hAnsi="Times New Roman" w:cs="Times New Roman"/>
        </w:rPr>
        <w:t>Rakab</w:t>
      </w:r>
      <w:proofErr w:type="spellEnd"/>
      <w:r>
        <w:rPr>
          <w:rFonts w:ascii="Times New Roman" w:eastAsia="Times New Roman" w:hAnsi="Times New Roman" w:cs="Times New Roman"/>
        </w:rPr>
        <w:t xml:space="preserve"> hill because it had a defensive advantage. Birsa Munda and his followers were armed with local weapons. “The police circled the hill. Mr. Streatfield began to reason” (Tete, 1986, p. 51) with Birsa Munda and his followers. He appealed Birsa Munda and his followers to surrender to him. But Birsa Munda and his followers refused to surrender to him. As a result, the Police made the final assault on Birsa Munda and his followers. In this assault, four men, three women were killed. However, Birsa Munda could not be arrested. British Government decided to offer awards to anyone who captured Birsa Munda and his followers. On February 3, 1900, Birsa Munda “was spotted in the forest west of Sentra. He was arrested during his sleep” (Tete, 1986, p. 52) in the forest. He was taken to Ranchi jail where he died of cholera on June 9, 1900. His followers were exiled to the Andamans and Nicobar Islands. It was the end of Birsa </w:t>
      </w:r>
      <w:proofErr w:type="spellStart"/>
      <w:r>
        <w:rPr>
          <w:rFonts w:ascii="Times New Roman" w:eastAsia="Times New Roman" w:hAnsi="Times New Roman" w:cs="Times New Roman"/>
          <w:i/>
        </w:rPr>
        <w:t>Ulgulan</w:t>
      </w:r>
      <w:proofErr w:type="spellEnd"/>
      <w:r>
        <w:rPr>
          <w:rFonts w:ascii="Times New Roman" w:eastAsia="Times New Roman" w:hAnsi="Times New Roman" w:cs="Times New Roman"/>
        </w:rPr>
        <w:t>.</w:t>
      </w:r>
    </w:p>
    <w:p w14:paraId="2F9349FC" w14:textId="77777777" w:rsidR="003934E1" w:rsidRDefault="003934E1">
      <w:pPr>
        <w:spacing w:after="200" w:line="360" w:lineRule="auto"/>
        <w:jc w:val="both"/>
        <w:rPr>
          <w:rFonts w:ascii="Times New Roman" w:eastAsia="Times New Roman" w:hAnsi="Times New Roman" w:cs="Times New Roman"/>
        </w:rPr>
      </w:pPr>
    </w:p>
    <w:p w14:paraId="408A0637" w14:textId="77777777" w:rsidR="003934E1" w:rsidRDefault="00000000">
      <w:pPr>
        <w:spacing w:after="20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4. Consequences of Birsa </w:t>
      </w:r>
      <w:proofErr w:type="spellStart"/>
      <w:r>
        <w:rPr>
          <w:rFonts w:ascii="Times New Roman" w:eastAsia="Times New Roman" w:hAnsi="Times New Roman" w:cs="Times New Roman"/>
          <w:b/>
          <w:i/>
        </w:rPr>
        <w:t>Ulgulan</w:t>
      </w:r>
      <w:proofErr w:type="spellEnd"/>
    </w:p>
    <w:p w14:paraId="0A1D3244"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Birsa Munda died a victorious death. Some of his followers died while serving the long sentences in British jails. Hundreds of men, women and children lost their life in the long Birsa </w:t>
      </w:r>
      <w:proofErr w:type="spellStart"/>
      <w:r>
        <w:rPr>
          <w:rFonts w:ascii="Times New Roman" w:eastAsia="Times New Roman" w:hAnsi="Times New Roman" w:cs="Times New Roman"/>
          <w:i/>
        </w:rPr>
        <w:t>Ulgulan</w:t>
      </w:r>
      <w:proofErr w:type="spellEnd"/>
      <w:r>
        <w:rPr>
          <w:rFonts w:ascii="Times New Roman" w:eastAsia="Times New Roman" w:hAnsi="Times New Roman" w:cs="Times New Roman"/>
        </w:rPr>
        <w:t xml:space="preserve">. Hundreds of men, women and children left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for Assam. Birsa Munda was victorious in his defeat. The Calcutta Press started agitation in favour of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(Sinha, 1964, p. 117). After the death of Birsa Munda, British Government became aware of the urgency of the need of addressing the land issues of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in particular and of the Adivasis in general. The Lieutenant-Governor sought advice of the local officials, the </w:t>
      </w:r>
      <w:r>
        <w:rPr>
          <w:rFonts w:ascii="Times New Roman" w:eastAsia="Times New Roman" w:hAnsi="Times New Roman" w:cs="Times New Roman"/>
          <w:i/>
        </w:rPr>
        <w:t>zamindars</w:t>
      </w:r>
      <w:r>
        <w:rPr>
          <w:rFonts w:ascii="Times New Roman" w:eastAsia="Times New Roman" w:hAnsi="Times New Roman" w:cs="Times New Roman"/>
        </w:rPr>
        <w:t xml:space="preserve"> and the Christian missionaries. On February 2, 1902, British Government sanctioned the inception of the Survey and Settlement operations. The Survey and Settlement operations were to begin from the Munda </w:t>
      </w:r>
      <w:r>
        <w:rPr>
          <w:rFonts w:ascii="Times New Roman" w:eastAsia="Times New Roman" w:hAnsi="Times New Roman" w:cs="Times New Roman"/>
          <w:i/>
        </w:rPr>
        <w:t>Disum</w:t>
      </w:r>
      <w:r>
        <w:rPr>
          <w:rFonts w:ascii="Times New Roman" w:eastAsia="Times New Roman" w:hAnsi="Times New Roman" w:cs="Times New Roman"/>
        </w:rPr>
        <w:t xml:space="preserve">. The task was entrusted to Mr. Edward Lister, </w:t>
      </w:r>
      <w:r>
        <w:rPr>
          <w:rFonts w:ascii="Times New Roman" w:eastAsia="Times New Roman" w:hAnsi="Times New Roman" w:cs="Times New Roman"/>
        </w:rPr>
        <w:lastRenderedPageBreak/>
        <w:t xml:space="preserve">I.C.S., the Settlement officer. The Commissioner exercised the general control over the operations. The survey operation was begun on March 8, 1902 in the Police stations of </w:t>
      </w:r>
      <w:proofErr w:type="spellStart"/>
      <w:r>
        <w:rPr>
          <w:rFonts w:ascii="Times New Roman" w:eastAsia="Times New Roman" w:hAnsi="Times New Roman" w:cs="Times New Roman"/>
        </w:rPr>
        <w:t>Khunti</w:t>
      </w:r>
      <w:proofErr w:type="spellEnd"/>
      <w:r>
        <w:rPr>
          <w:rFonts w:ascii="Times New Roman" w:eastAsia="Times New Roman" w:hAnsi="Times New Roman" w:cs="Times New Roman"/>
        </w:rPr>
        <w:t xml:space="preserve"> and Tamar under Mr. Lister (Tete, 1986, p. 60). The British Government sought for Fr. John Baptist Hoffmann, SJ, a German Catholic missionary, to be closely associated with Mr. Lister in that important work. At that time, Fr. Hoffmann was in </w:t>
      </w:r>
      <w:proofErr w:type="spellStart"/>
      <w:r>
        <w:rPr>
          <w:rFonts w:ascii="Times New Roman" w:eastAsia="Times New Roman" w:hAnsi="Times New Roman" w:cs="Times New Roman"/>
        </w:rPr>
        <w:t>Sarwada</w:t>
      </w:r>
      <w:proofErr w:type="spellEnd"/>
      <w:r>
        <w:rPr>
          <w:rFonts w:ascii="Times New Roman" w:eastAsia="Times New Roman" w:hAnsi="Times New Roman" w:cs="Times New Roman"/>
        </w:rPr>
        <w:t xml:space="preserve">. He had the greatest authority over the customs and traditions of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He “rendered invaluable assistance to the officer with regard to the Munda land system and their customs” (Tete, 1986, p. 60). British Government charged him to codify the Succession Laws, the agrarian system of the rights of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and the aboriginals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In collaboration with British Government he codified the Adivasi customary laws. The provisions of this codified Adivasi customary laws were discussed in detail during the visit of Sir Andrew at Ranchi in August 1907. These Adivasi customary laws were subsequently introduced in the Council and passed into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 VI of 1908.  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Act- 1908 made the Adivasi land transferable only to the Adivasis and non-transferable to the </w:t>
      </w:r>
      <w:proofErr w:type="spellStart"/>
      <w:r>
        <w:rPr>
          <w:rFonts w:ascii="Times New Roman" w:eastAsia="Times New Roman" w:hAnsi="Times New Roman" w:cs="Times New Roman"/>
          <w:i/>
        </w:rPr>
        <w:t>dikus</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Act- 1908 restored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the Mundari </w:t>
      </w:r>
      <w:proofErr w:type="spellStart"/>
      <w:r>
        <w:rPr>
          <w:rFonts w:ascii="Times New Roman" w:eastAsia="Times New Roman" w:hAnsi="Times New Roman" w:cs="Times New Roman"/>
        </w:rPr>
        <w:t>Khuntkatti</w:t>
      </w:r>
      <w:proofErr w:type="spellEnd"/>
      <w:r>
        <w:rPr>
          <w:rFonts w:ascii="Times New Roman" w:eastAsia="Times New Roman" w:hAnsi="Times New Roman" w:cs="Times New Roman"/>
        </w:rPr>
        <w:t xml:space="preserve"> rights of land. The Adivasis in general and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in particular received the title-deeds of their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and </w:t>
      </w:r>
      <w:proofErr w:type="spellStart"/>
      <w:r>
        <w:rPr>
          <w:rFonts w:ascii="Times New Roman" w:eastAsia="Times New Roman" w:hAnsi="Times New Roman" w:cs="Times New Roman"/>
          <w:i/>
        </w:rPr>
        <w:t>bhuinhari</w:t>
      </w:r>
      <w:proofErr w:type="spellEnd"/>
      <w:r>
        <w:rPr>
          <w:rFonts w:ascii="Times New Roman" w:eastAsia="Times New Roman" w:hAnsi="Times New Roman" w:cs="Times New Roman"/>
        </w:rPr>
        <w:t xml:space="preserve"> lands. British Government abolished the compulsory commutation of the praedial conditions and </w:t>
      </w:r>
      <w:proofErr w:type="spellStart"/>
      <w:r>
        <w:rPr>
          <w:rFonts w:ascii="Times New Roman" w:eastAsia="Times New Roman" w:hAnsi="Times New Roman" w:cs="Times New Roman"/>
          <w:i/>
        </w:rPr>
        <w:t>beth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begari</w:t>
      </w:r>
      <w:proofErr w:type="spellEnd"/>
      <w:r>
        <w:rPr>
          <w:rFonts w:ascii="Times New Roman" w:eastAsia="Times New Roman" w:hAnsi="Times New Roman" w:cs="Times New Roman"/>
        </w:rPr>
        <w:t xml:space="preserve"> system. 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Act-1908 and the results of the settlement fell short of the expectations and dreams of the Munda </w:t>
      </w:r>
      <w:r>
        <w:rPr>
          <w:rFonts w:ascii="Times New Roman" w:eastAsia="Times New Roman" w:hAnsi="Times New Roman" w:cs="Times New Roman"/>
          <w:i/>
        </w:rPr>
        <w:t>Disum</w:t>
      </w:r>
      <w:r>
        <w:rPr>
          <w:rFonts w:ascii="Times New Roman" w:eastAsia="Times New Roman" w:hAnsi="Times New Roman" w:cs="Times New Roman"/>
        </w:rPr>
        <w:t xml:space="preserve"> for which Birsa Munda and his followers revolted against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and the </w:t>
      </w:r>
      <w:r>
        <w:rPr>
          <w:rFonts w:ascii="Times New Roman" w:eastAsia="Times New Roman" w:hAnsi="Times New Roman" w:cs="Times New Roman"/>
          <w:i/>
        </w:rPr>
        <w:t>zamindars,</w:t>
      </w:r>
      <w:r>
        <w:rPr>
          <w:rFonts w:ascii="Times New Roman" w:eastAsia="Times New Roman" w:hAnsi="Times New Roman" w:cs="Times New Roman"/>
        </w:rPr>
        <w:t xml:space="preserve"> British government and the Christian missionaries. “Only 156 villages could be secured as intact Mundari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villages” (Singh, 1986, p. 187). 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Act-1908 does not advocate to restore the lost land of the Adivasis in general and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in particular taking their burial grounds as evidences for the ownership of ancestral land. </w:t>
      </w:r>
    </w:p>
    <w:p w14:paraId="1D1E1CB8" w14:textId="77777777" w:rsidR="003934E1" w:rsidRDefault="003934E1">
      <w:pPr>
        <w:spacing w:after="200" w:line="360" w:lineRule="auto"/>
        <w:jc w:val="both"/>
        <w:rPr>
          <w:rFonts w:ascii="Times New Roman" w:eastAsia="Times New Roman" w:hAnsi="Times New Roman" w:cs="Times New Roman"/>
        </w:rPr>
      </w:pPr>
    </w:p>
    <w:p w14:paraId="2740734C" w14:textId="77777777" w:rsidR="003934E1" w:rsidRDefault="00000000">
      <w:pPr>
        <w:spacing w:after="200" w:line="360" w:lineRule="auto"/>
        <w:jc w:val="both"/>
        <w:rPr>
          <w:rFonts w:ascii="Times New Roman" w:eastAsia="Times New Roman" w:hAnsi="Times New Roman" w:cs="Times New Roman"/>
          <w:b/>
        </w:rPr>
      </w:pPr>
      <w:r>
        <w:rPr>
          <w:rFonts w:ascii="Times New Roman" w:eastAsia="Times New Roman" w:hAnsi="Times New Roman" w:cs="Times New Roman"/>
          <w:b/>
        </w:rPr>
        <w:t>Conclusion</w:t>
      </w:r>
    </w:p>
    <w:p w14:paraId="6E93E3C7"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Land is the matter of life and death for the Adivasis. The Adivasi land system is a part of the total Adivasi social system. The Mundari land system is known as </w:t>
      </w:r>
      <w:proofErr w:type="spellStart"/>
      <w:r>
        <w:rPr>
          <w:rFonts w:ascii="Times New Roman" w:eastAsia="Times New Roman" w:hAnsi="Times New Roman" w:cs="Times New Roman"/>
        </w:rPr>
        <w:t>Khuntkatti</w:t>
      </w:r>
      <w:proofErr w:type="spellEnd"/>
      <w:r>
        <w:rPr>
          <w:rFonts w:ascii="Times New Roman" w:eastAsia="Times New Roman" w:hAnsi="Times New Roman" w:cs="Times New Roman"/>
        </w:rPr>
        <w:t xml:space="preserve"> land system. However, in the medieval period with the rise of the feudal state system the Adivasis land system began to disintegrate under the pressure of the influx of </w:t>
      </w:r>
      <w:proofErr w:type="spellStart"/>
      <w:r>
        <w:rPr>
          <w:rFonts w:ascii="Times New Roman" w:eastAsia="Times New Roman" w:hAnsi="Times New Roman" w:cs="Times New Roman"/>
          <w:i/>
        </w:rPr>
        <w:t>dikus</w:t>
      </w:r>
      <w:proofErr w:type="spellEnd"/>
      <w:r>
        <w:rPr>
          <w:rFonts w:ascii="Times New Roman" w:eastAsia="Times New Roman" w:hAnsi="Times New Roman" w:cs="Times New Roman"/>
        </w:rPr>
        <w:t xml:space="preserve">.  During the Mughal Emperor and British government the </w:t>
      </w:r>
      <w:proofErr w:type="spellStart"/>
      <w:r>
        <w:rPr>
          <w:rFonts w:ascii="Times New Roman" w:eastAsia="Times New Roman" w:hAnsi="Times New Roman" w:cs="Times New Roman"/>
          <w:i/>
        </w:rPr>
        <w:t>thikedari</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i/>
        </w:rPr>
        <w:t>jagirdari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and the </w:t>
      </w:r>
      <w:r>
        <w:rPr>
          <w:rFonts w:ascii="Times New Roman" w:eastAsia="Times New Roman" w:hAnsi="Times New Roman" w:cs="Times New Roman"/>
          <w:i/>
        </w:rPr>
        <w:t xml:space="preserve">zamindari </w:t>
      </w:r>
      <w:r>
        <w:rPr>
          <w:rFonts w:ascii="Times New Roman" w:eastAsia="Times New Roman" w:hAnsi="Times New Roman" w:cs="Times New Roman"/>
        </w:rPr>
        <w:t xml:space="preserve">systems were established which destroyed the Adivasi or Mundari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land system and Adivasi social </w:t>
      </w:r>
      <w:r>
        <w:rPr>
          <w:rFonts w:ascii="Times New Roman" w:eastAsia="Times New Roman" w:hAnsi="Times New Roman" w:cs="Times New Roman"/>
        </w:rPr>
        <w:lastRenderedPageBreak/>
        <w:t xml:space="preserve">institutions. In order to restore the Adivasi or Mundari </w:t>
      </w:r>
      <w:proofErr w:type="spellStart"/>
      <w:r>
        <w:rPr>
          <w:rFonts w:ascii="Times New Roman" w:eastAsia="Times New Roman" w:hAnsi="Times New Roman" w:cs="Times New Roman"/>
        </w:rPr>
        <w:t>khuntkatti</w:t>
      </w:r>
      <w:proofErr w:type="spellEnd"/>
      <w:r>
        <w:rPr>
          <w:rFonts w:ascii="Times New Roman" w:eastAsia="Times New Roman" w:hAnsi="Times New Roman" w:cs="Times New Roman"/>
        </w:rPr>
        <w:t xml:space="preserve"> land system and Adivasi social institutions, several Adivasi revolt took place the </w:t>
      </w:r>
      <w:proofErr w:type="spellStart"/>
      <w:r>
        <w:rPr>
          <w:rFonts w:ascii="Times New Roman" w:eastAsia="Times New Roman" w:hAnsi="Times New Roman" w:cs="Times New Roman"/>
          <w:i/>
        </w:rPr>
        <w:t>thikedars</w:t>
      </w:r>
      <w:proofErr w:type="spellEnd"/>
      <w:r>
        <w:rPr>
          <w:rFonts w:ascii="Times New Roman" w:eastAsia="Times New Roman" w:hAnsi="Times New Roman" w:cs="Times New Roman"/>
        </w:rPr>
        <w:t xml:space="preserve">, the </w:t>
      </w:r>
      <w:r>
        <w:rPr>
          <w:rFonts w:ascii="Times New Roman" w:eastAsia="Times New Roman" w:hAnsi="Times New Roman" w:cs="Times New Roman"/>
          <w:i/>
        </w:rPr>
        <w:t xml:space="preserve">jagirdars </w:t>
      </w:r>
      <w:r>
        <w:rPr>
          <w:rFonts w:ascii="Times New Roman" w:eastAsia="Times New Roman" w:hAnsi="Times New Roman" w:cs="Times New Roman"/>
        </w:rPr>
        <w:t xml:space="preserve">and the </w:t>
      </w:r>
      <w:r>
        <w:rPr>
          <w:rFonts w:ascii="Times New Roman" w:eastAsia="Times New Roman" w:hAnsi="Times New Roman" w:cs="Times New Roman"/>
          <w:i/>
        </w:rPr>
        <w:t>zamindars,</w:t>
      </w:r>
      <w:r>
        <w:rPr>
          <w:rFonts w:ascii="Times New Roman" w:eastAsia="Times New Roman" w:hAnsi="Times New Roman" w:cs="Times New Roman"/>
        </w:rPr>
        <w:t xml:space="preserve"> British government and the Christian missionaries. Birsa </w:t>
      </w:r>
      <w:proofErr w:type="spellStart"/>
      <w:r>
        <w:rPr>
          <w:rFonts w:ascii="Times New Roman" w:eastAsia="Times New Roman" w:hAnsi="Times New Roman" w:cs="Times New Roman"/>
          <w:i/>
        </w:rPr>
        <w:t>Ulgulan</w:t>
      </w:r>
      <w:proofErr w:type="spellEnd"/>
      <w:r>
        <w:rPr>
          <w:rFonts w:ascii="Times New Roman" w:eastAsia="Times New Roman" w:hAnsi="Times New Roman" w:cs="Times New Roman"/>
        </w:rPr>
        <w:t xml:space="preserve"> was last and final Adivasi revolt the </w:t>
      </w:r>
      <w:proofErr w:type="spellStart"/>
      <w:r>
        <w:rPr>
          <w:rFonts w:ascii="Times New Roman" w:eastAsia="Times New Roman" w:hAnsi="Times New Roman" w:cs="Times New Roman"/>
        </w:rPr>
        <w:t>dikus</w:t>
      </w:r>
      <w:proofErr w:type="spellEnd"/>
      <w:r>
        <w:rPr>
          <w:rFonts w:ascii="Times New Roman" w:eastAsia="Times New Roman" w:hAnsi="Times New Roman" w:cs="Times New Roman"/>
        </w:rPr>
        <w:t xml:space="preserve"> and British Government and the Christian missionaries which resulted in the enactment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Act- 1908. However, 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Act-1908 fell short of the expectations and dreams of the Munda </w:t>
      </w:r>
      <w:r>
        <w:rPr>
          <w:rFonts w:ascii="Times New Roman" w:eastAsia="Times New Roman" w:hAnsi="Times New Roman" w:cs="Times New Roman"/>
          <w:i/>
        </w:rPr>
        <w:t>Disum</w:t>
      </w:r>
      <w:r>
        <w:rPr>
          <w:rFonts w:ascii="Times New Roman" w:eastAsia="Times New Roman" w:hAnsi="Times New Roman" w:cs="Times New Roman"/>
        </w:rPr>
        <w:t xml:space="preserve"> for which Birsa Munda and his followers revolted against the </w:t>
      </w:r>
      <w:proofErr w:type="spellStart"/>
      <w:r>
        <w:rPr>
          <w:rFonts w:ascii="Times New Roman" w:eastAsia="Times New Roman" w:hAnsi="Times New Roman" w:cs="Times New Roman"/>
          <w:i/>
        </w:rPr>
        <w:t>dikus</w:t>
      </w:r>
      <w:proofErr w:type="spellEnd"/>
      <w:r>
        <w:rPr>
          <w:rFonts w:ascii="Times New Roman" w:eastAsia="Times New Roman" w:hAnsi="Times New Roman" w:cs="Times New Roman"/>
          <w:i/>
        </w:rPr>
        <w:t>,</w:t>
      </w:r>
      <w:r>
        <w:rPr>
          <w:rFonts w:ascii="Times New Roman" w:eastAsia="Times New Roman" w:hAnsi="Times New Roman" w:cs="Times New Roman"/>
        </w:rPr>
        <w:t xml:space="preserve"> British government and the Christian missionaries.</w:t>
      </w:r>
    </w:p>
    <w:p w14:paraId="3A9639D6" w14:textId="77777777" w:rsidR="003934E1" w:rsidRDefault="00000000">
      <w:pPr>
        <w:spacing w:after="200" w:line="360" w:lineRule="auto"/>
        <w:jc w:val="center"/>
        <w:rPr>
          <w:rFonts w:ascii="Times New Roman" w:eastAsia="Times New Roman" w:hAnsi="Times New Roman" w:cs="Times New Roman"/>
          <w:b/>
        </w:rPr>
      </w:pPr>
      <w:r>
        <w:rPr>
          <w:rFonts w:ascii="Times New Roman" w:eastAsia="Times New Roman" w:hAnsi="Times New Roman" w:cs="Times New Roman"/>
          <w:b/>
        </w:rPr>
        <w:t>References</w:t>
      </w:r>
    </w:p>
    <w:p w14:paraId="303599D7"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Bara, J. (2022). Birsa Munda and the Nation. Journal of Adivasi and Indigenous Studies (JAIS),</w:t>
      </w:r>
    </w:p>
    <w:p w14:paraId="135B9171" w14:textId="77777777" w:rsidR="003934E1" w:rsidRDefault="00000000">
      <w:pPr>
        <w:spacing w:after="200" w:line="360" w:lineRule="auto"/>
        <w:ind w:firstLine="720"/>
        <w:jc w:val="both"/>
        <w:rPr>
          <w:rFonts w:ascii="Times New Roman" w:eastAsia="Times New Roman" w:hAnsi="Times New Roman" w:cs="Times New Roman"/>
        </w:rPr>
      </w:pPr>
      <w:r>
        <w:rPr>
          <w:rFonts w:ascii="Times New Roman" w:eastAsia="Times New Roman" w:hAnsi="Times New Roman" w:cs="Times New Roman"/>
        </w:rPr>
        <w:t>XII (2), 1-23.</w:t>
      </w:r>
    </w:p>
    <w:p w14:paraId="3AE768B4" w14:textId="77777777" w:rsidR="003934E1" w:rsidRDefault="003934E1">
      <w:pPr>
        <w:spacing w:after="200" w:line="360" w:lineRule="auto"/>
        <w:ind w:firstLine="720"/>
        <w:jc w:val="both"/>
        <w:rPr>
          <w:rFonts w:ascii="Times New Roman" w:eastAsia="Times New Roman" w:hAnsi="Times New Roman" w:cs="Times New Roman"/>
        </w:rPr>
      </w:pPr>
    </w:p>
    <w:p w14:paraId="5AA89443" w14:textId="77777777" w:rsidR="003934E1" w:rsidRDefault="00000000">
      <w:pPr>
        <w:spacing w:after="200" w:line="360" w:lineRule="auto"/>
        <w:ind w:firstLine="720"/>
        <w:jc w:val="both"/>
        <w:rPr>
          <w:rFonts w:ascii="Times New Roman" w:eastAsia="Times New Roman" w:hAnsi="Times New Roman" w:cs="Times New Roman"/>
          <w:color w:val="0000FF"/>
          <w:u w:val="single"/>
        </w:rPr>
      </w:pPr>
      <w:r>
        <w:fldChar w:fldCharType="begin"/>
      </w:r>
      <w:r>
        <w:instrText xml:space="preserve"> HYPERLINK "https://joais.in/Journal/2.%20Birsa%20Munda%20and%20the%20Nation%20%20Edited-Aug22.pdf" </w:instrText>
      </w:r>
      <w:r>
        <w:fldChar w:fldCharType="separate"/>
      </w:r>
      <w:r>
        <w:rPr>
          <w:rFonts w:ascii="Times New Roman" w:eastAsia="Times New Roman" w:hAnsi="Times New Roman" w:cs="Times New Roman"/>
          <w:color w:val="0000FF"/>
          <w:u w:val="single"/>
        </w:rPr>
        <w:t>https://joais.in/Journal/2.%20Birsa%20Munda%20and%20the%20Nation%20</w:t>
      </w:r>
    </w:p>
    <w:p w14:paraId="104CA423" w14:textId="77777777" w:rsidR="003934E1" w:rsidRDefault="00000000">
      <w:pPr>
        <w:spacing w:after="200" w:line="360" w:lineRule="auto"/>
        <w:ind w:firstLine="720"/>
        <w:jc w:val="both"/>
        <w:rPr>
          <w:rFonts w:ascii="Times New Roman" w:eastAsia="Times New Roman" w:hAnsi="Times New Roman" w:cs="Times New Roman"/>
        </w:rPr>
      </w:pPr>
      <w:r>
        <w:rPr>
          <w:rFonts w:ascii="Times New Roman" w:eastAsia="Times New Roman" w:hAnsi="Times New Roman" w:cs="Times New Roman"/>
          <w:color w:val="0000FF"/>
          <w:u w:val="single"/>
        </w:rPr>
        <w:t>%20Edited-Aug22.pdf</w:t>
      </w:r>
      <w:r>
        <w:fldChar w:fldCharType="end"/>
      </w:r>
      <w:r>
        <w:rPr>
          <w:rFonts w:ascii="Times New Roman" w:eastAsia="Times New Roman" w:hAnsi="Times New Roman" w:cs="Times New Roman"/>
        </w:rPr>
        <w:t xml:space="preserve">. </w:t>
      </w:r>
    </w:p>
    <w:p w14:paraId="6741855D"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Ekka, A. (2014). THE HISTORICAL CONTEXT OF THE RANCHI JESUIT MISSION.</w:t>
      </w:r>
    </w:p>
    <w:p w14:paraId="57A638E5" w14:textId="77777777" w:rsidR="003934E1" w:rsidRDefault="00000000">
      <w:pPr>
        <w:spacing w:after="20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 In F. Minj &amp; A. Ekka (eds.). </w:t>
      </w:r>
      <w:r>
        <w:rPr>
          <w:rFonts w:ascii="Times New Roman" w:eastAsia="Times New Roman" w:hAnsi="Times New Roman" w:cs="Times New Roman"/>
          <w:i/>
        </w:rPr>
        <w:t xml:space="preserve">Jesuit Mission Among The Adivasis Of </w:t>
      </w:r>
      <w:proofErr w:type="spellStart"/>
      <w:r>
        <w:rPr>
          <w:rFonts w:ascii="Times New Roman" w:eastAsia="Times New Roman" w:hAnsi="Times New Roman" w:cs="Times New Roman"/>
          <w:i/>
        </w:rPr>
        <w:t>Chotanagpur</w:t>
      </w:r>
      <w:proofErr w:type="spellEnd"/>
      <w:r>
        <w:rPr>
          <w:rFonts w:ascii="Times New Roman" w:eastAsia="Times New Roman" w:hAnsi="Times New Roman" w:cs="Times New Roman"/>
        </w:rPr>
        <w:t xml:space="preserve"> </w:t>
      </w:r>
    </w:p>
    <w:p w14:paraId="1EE1898D" w14:textId="77777777" w:rsidR="003934E1" w:rsidRDefault="00000000">
      <w:pPr>
        <w:spacing w:after="200" w:line="360" w:lineRule="auto"/>
        <w:ind w:left="720"/>
        <w:jc w:val="both"/>
        <w:rPr>
          <w:rFonts w:ascii="Times New Roman" w:eastAsia="Times New Roman" w:hAnsi="Times New Roman" w:cs="Times New Roman"/>
        </w:rPr>
      </w:pPr>
      <w:r>
        <w:rPr>
          <w:rFonts w:ascii="Times New Roman" w:eastAsia="Times New Roman" w:hAnsi="Times New Roman" w:cs="Times New Roman"/>
        </w:rPr>
        <w:t>(pp. 7-55). Satya Bharthi</w:t>
      </w:r>
    </w:p>
    <w:p w14:paraId="4D66B054"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Hans, S. A. B. D. (2020). THE INBEBTEDNESS OF THE MUNDAS TO FR HOFFMANN. </w:t>
      </w:r>
    </w:p>
    <w:p w14:paraId="778752A4" w14:textId="77777777" w:rsidR="003934E1" w:rsidRDefault="00000000">
      <w:pPr>
        <w:spacing w:after="200"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In P. </w:t>
      </w:r>
      <w:proofErr w:type="spellStart"/>
      <w:r>
        <w:rPr>
          <w:rFonts w:ascii="Times New Roman" w:eastAsia="Times New Roman" w:hAnsi="Times New Roman" w:cs="Times New Roman"/>
        </w:rPr>
        <w:t>Ponette</w:t>
      </w:r>
      <w:proofErr w:type="spellEnd"/>
      <w:r>
        <w:rPr>
          <w:rFonts w:ascii="Times New Roman" w:eastAsia="Times New Roman" w:hAnsi="Times New Roman" w:cs="Times New Roman"/>
        </w:rPr>
        <w:t xml:space="preserve"> (ed.), </w:t>
      </w:r>
      <w:r>
        <w:rPr>
          <w:rFonts w:ascii="Times New Roman" w:eastAsia="Times New Roman" w:hAnsi="Times New Roman" w:cs="Times New Roman"/>
          <w:i/>
        </w:rPr>
        <w:t>The Munda World: Hoffmann Commemoration Volume</w:t>
      </w:r>
      <w:r>
        <w:rPr>
          <w:rFonts w:ascii="Times New Roman" w:eastAsia="Times New Roman" w:hAnsi="Times New Roman" w:cs="Times New Roman"/>
        </w:rPr>
        <w:t xml:space="preserve"> (pp. 17-28). Catholic Press. </w:t>
      </w:r>
    </w:p>
    <w:p w14:paraId="1D7A4C66" w14:textId="77777777" w:rsidR="003934E1" w:rsidRDefault="00000000">
      <w:pPr>
        <w:spacing w:after="20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Ponette</w:t>
      </w:r>
      <w:proofErr w:type="spellEnd"/>
      <w:r>
        <w:rPr>
          <w:rFonts w:ascii="Times New Roman" w:eastAsia="Times New Roman" w:hAnsi="Times New Roman" w:cs="Times New Roman"/>
        </w:rPr>
        <w:t xml:space="preserve">, P. (2020). JOHN BAPTIST HOFFMANN, S.J.: A Biographical Sketch. </w:t>
      </w:r>
    </w:p>
    <w:p w14:paraId="77D1B167" w14:textId="77777777" w:rsidR="003934E1" w:rsidRDefault="00000000">
      <w:pPr>
        <w:spacing w:after="200" w:line="360"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In P. </w:t>
      </w:r>
      <w:proofErr w:type="spellStart"/>
      <w:r>
        <w:rPr>
          <w:rFonts w:ascii="Times New Roman" w:eastAsia="Times New Roman" w:hAnsi="Times New Roman" w:cs="Times New Roman"/>
        </w:rPr>
        <w:t>Ponette</w:t>
      </w:r>
      <w:proofErr w:type="spellEnd"/>
      <w:r>
        <w:rPr>
          <w:rFonts w:ascii="Times New Roman" w:eastAsia="Times New Roman" w:hAnsi="Times New Roman" w:cs="Times New Roman"/>
        </w:rPr>
        <w:t xml:space="preserve"> (ed.), </w:t>
      </w:r>
      <w:r>
        <w:rPr>
          <w:rFonts w:ascii="Times New Roman" w:eastAsia="Times New Roman" w:hAnsi="Times New Roman" w:cs="Times New Roman"/>
          <w:i/>
        </w:rPr>
        <w:t>The Munda World: Hoffmann Commemoration Volume</w:t>
      </w:r>
      <w:r>
        <w:rPr>
          <w:rFonts w:ascii="Times New Roman" w:eastAsia="Times New Roman" w:hAnsi="Times New Roman" w:cs="Times New Roman"/>
        </w:rPr>
        <w:t xml:space="preserve"> (pp. 1-16). Catholic Press. </w:t>
      </w:r>
    </w:p>
    <w:p w14:paraId="428FC024"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Roy, S.C. (2014). </w:t>
      </w:r>
      <w:r>
        <w:rPr>
          <w:rFonts w:ascii="Times New Roman" w:eastAsia="Times New Roman" w:hAnsi="Times New Roman" w:cs="Times New Roman"/>
          <w:i/>
        </w:rPr>
        <w:t>THE MUNDAS AND THEIR COUNTRY</w:t>
      </w:r>
      <w:r>
        <w:rPr>
          <w:rFonts w:ascii="Times New Roman" w:eastAsia="Times New Roman" w:hAnsi="Times New Roman" w:cs="Times New Roman"/>
        </w:rPr>
        <w:t>. CROWN PUBLICATIONS.</w:t>
      </w:r>
    </w:p>
    <w:p w14:paraId="1FCB0B5C" w14:textId="77777777" w:rsidR="003934E1" w:rsidRDefault="00000000">
      <w:pPr>
        <w:spacing w:after="20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Sannyasai</w:t>
      </w:r>
      <w:proofErr w:type="spellEnd"/>
      <w:r>
        <w:rPr>
          <w:rFonts w:ascii="Times New Roman" w:eastAsia="Times New Roman" w:hAnsi="Times New Roman" w:cs="Times New Roman"/>
        </w:rPr>
        <w:t>, N., Samanta, B. &amp; Halim,. A (2023). A Research Study on Birsa Munda: The Great</w:t>
      </w:r>
    </w:p>
    <w:p w14:paraId="4B7F7993" w14:textId="77777777" w:rsidR="003934E1" w:rsidRDefault="00000000">
      <w:pPr>
        <w:spacing w:after="200" w:line="360" w:lineRule="auto"/>
        <w:ind w:firstLine="720"/>
        <w:jc w:val="both"/>
        <w:rPr>
          <w:rFonts w:ascii="Times New Roman" w:eastAsia="Times New Roman" w:hAnsi="Times New Roman" w:cs="Times New Roman"/>
          <w:i/>
        </w:rPr>
      </w:pPr>
      <w:r>
        <w:rPr>
          <w:rFonts w:ascii="Times New Roman" w:eastAsia="Times New Roman" w:hAnsi="Times New Roman" w:cs="Times New Roman"/>
        </w:rPr>
        <w:t xml:space="preserve">Personality and the Indian Tribal Freedom Fighter. </w:t>
      </w:r>
      <w:r>
        <w:rPr>
          <w:rFonts w:ascii="Times New Roman" w:eastAsia="Times New Roman" w:hAnsi="Times New Roman" w:cs="Times New Roman"/>
          <w:i/>
        </w:rPr>
        <w:t>International Journal of Arts,</w:t>
      </w:r>
    </w:p>
    <w:p w14:paraId="7467DC3C" w14:textId="77777777" w:rsidR="003934E1" w:rsidRDefault="00000000">
      <w:pPr>
        <w:spacing w:after="200" w:line="360" w:lineRule="auto"/>
        <w:ind w:firstLine="720"/>
        <w:jc w:val="both"/>
        <w:rPr>
          <w:rFonts w:ascii="Times New Roman" w:eastAsia="Times New Roman" w:hAnsi="Times New Roman" w:cs="Times New Roman"/>
        </w:rPr>
      </w:pPr>
      <w:r>
        <w:rPr>
          <w:rFonts w:ascii="Times New Roman" w:eastAsia="Times New Roman" w:hAnsi="Times New Roman" w:cs="Times New Roman"/>
          <w:i/>
        </w:rPr>
        <w:lastRenderedPageBreak/>
        <w:t>Humanities</w:t>
      </w:r>
      <w:r>
        <w:rPr>
          <w:rFonts w:ascii="Times New Roman" w:eastAsia="Times New Roman" w:hAnsi="Times New Roman" w:cs="Times New Roman"/>
        </w:rPr>
        <w:t xml:space="preserve"> </w:t>
      </w:r>
      <w:r>
        <w:rPr>
          <w:rFonts w:ascii="Times New Roman" w:eastAsia="Times New Roman" w:hAnsi="Times New Roman" w:cs="Times New Roman"/>
          <w:i/>
        </w:rPr>
        <w:t>and Social Studies</w:t>
      </w:r>
      <w:r>
        <w:rPr>
          <w:rFonts w:ascii="Times New Roman" w:eastAsia="Times New Roman" w:hAnsi="Times New Roman" w:cs="Times New Roman"/>
        </w:rPr>
        <w:t>, 5(2), 17-21.</w:t>
      </w:r>
    </w:p>
    <w:p w14:paraId="4F78CFD9" w14:textId="77777777" w:rsidR="003934E1" w:rsidRDefault="003934E1">
      <w:pPr>
        <w:spacing w:after="200" w:line="360" w:lineRule="auto"/>
        <w:ind w:firstLine="720"/>
        <w:jc w:val="both"/>
        <w:rPr>
          <w:rFonts w:ascii="Times New Roman" w:eastAsia="Times New Roman" w:hAnsi="Times New Roman" w:cs="Times New Roman"/>
        </w:rPr>
      </w:pPr>
      <w:hyperlink r:id="rId54">
        <w:r>
          <w:rPr>
            <w:rFonts w:ascii="Times New Roman" w:eastAsia="Times New Roman" w:hAnsi="Times New Roman" w:cs="Times New Roman"/>
            <w:color w:val="0000FF"/>
            <w:u w:val="single"/>
          </w:rPr>
          <w:t>https://doi.org/10.33545/26648652.2023.v5.i2a.63</w:t>
        </w:r>
      </w:hyperlink>
      <w:r>
        <w:rPr>
          <w:rFonts w:ascii="Times New Roman" w:eastAsia="Times New Roman" w:hAnsi="Times New Roman" w:cs="Times New Roman"/>
        </w:rPr>
        <w:t xml:space="preserve">. </w:t>
      </w:r>
    </w:p>
    <w:p w14:paraId="68CAA0CE" w14:textId="77777777" w:rsidR="003934E1" w:rsidRDefault="00000000">
      <w:pPr>
        <w:spacing w:after="200" w:line="360" w:lineRule="auto"/>
        <w:jc w:val="both"/>
        <w:rPr>
          <w:rFonts w:ascii="Times New Roman" w:eastAsia="Times New Roman" w:hAnsi="Times New Roman" w:cs="Times New Roman"/>
          <w:i/>
        </w:rPr>
      </w:pPr>
      <w:r>
        <w:rPr>
          <w:rFonts w:ascii="Times New Roman" w:eastAsia="Times New Roman" w:hAnsi="Times New Roman" w:cs="Times New Roman"/>
        </w:rPr>
        <w:t xml:space="preserve">Singh, K.S. (1983). </w:t>
      </w:r>
      <w:r>
        <w:rPr>
          <w:rFonts w:ascii="Times New Roman" w:eastAsia="Times New Roman" w:hAnsi="Times New Roman" w:cs="Times New Roman"/>
          <w:i/>
        </w:rPr>
        <w:t>BIRSA MUNDA AND HIS MOVEMENT 1874-1901: A study of a</w:t>
      </w:r>
    </w:p>
    <w:p w14:paraId="4087EB08" w14:textId="77777777" w:rsidR="003934E1" w:rsidRDefault="00000000">
      <w:pPr>
        <w:spacing w:after="200" w:line="360" w:lineRule="auto"/>
        <w:ind w:firstLine="720"/>
        <w:jc w:val="both"/>
        <w:rPr>
          <w:rFonts w:ascii="Times New Roman" w:eastAsia="Times New Roman" w:hAnsi="Times New Roman" w:cs="Times New Roman"/>
        </w:rPr>
      </w:pPr>
      <w:r>
        <w:rPr>
          <w:rFonts w:ascii="Times New Roman" w:eastAsia="Times New Roman" w:hAnsi="Times New Roman" w:cs="Times New Roman"/>
          <w:i/>
        </w:rPr>
        <w:t xml:space="preserve">Millenarian Movement in </w:t>
      </w:r>
      <w:proofErr w:type="spellStart"/>
      <w:r>
        <w:rPr>
          <w:rFonts w:ascii="Times New Roman" w:eastAsia="Times New Roman" w:hAnsi="Times New Roman" w:cs="Times New Roman"/>
          <w:i/>
        </w:rPr>
        <w:t>Chotanagpur</w:t>
      </w:r>
      <w:proofErr w:type="spellEnd"/>
      <w:r>
        <w:rPr>
          <w:rFonts w:ascii="Times New Roman" w:eastAsia="Times New Roman" w:hAnsi="Times New Roman" w:cs="Times New Roman"/>
        </w:rPr>
        <w:t>. OXFORD UNIVERSITY PRESS.</w:t>
      </w:r>
    </w:p>
    <w:p w14:paraId="395076D6" w14:textId="77777777" w:rsidR="003934E1" w:rsidRDefault="00000000">
      <w:pPr>
        <w:spacing w:after="200" w:line="360" w:lineRule="auto"/>
        <w:jc w:val="both"/>
        <w:rPr>
          <w:rFonts w:ascii="Times New Roman" w:eastAsia="Times New Roman" w:hAnsi="Times New Roman" w:cs="Times New Roman"/>
          <w:i/>
        </w:rPr>
      </w:pPr>
      <w:r>
        <w:rPr>
          <w:rFonts w:ascii="Times New Roman" w:eastAsia="Times New Roman" w:hAnsi="Times New Roman" w:cs="Times New Roman"/>
        </w:rPr>
        <w:t xml:space="preserve">Singh, K.S. (2020). THE MUNDA LAND SYSTEM. In P. </w:t>
      </w:r>
      <w:proofErr w:type="spellStart"/>
      <w:r>
        <w:rPr>
          <w:rFonts w:ascii="Times New Roman" w:eastAsia="Times New Roman" w:hAnsi="Times New Roman" w:cs="Times New Roman"/>
        </w:rPr>
        <w:t>Ponette</w:t>
      </w:r>
      <w:proofErr w:type="spellEnd"/>
      <w:r>
        <w:rPr>
          <w:rFonts w:ascii="Times New Roman" w:eastAsia="Times New Roman" w:hAnsi="Times New Roman" w:cs="Times New Roman"/>
        </w:rPr>
        <w:t xml:space="preserve"> (ed.), </w:t>
      </w:r>
      <w:r>
        <w:rPr>
          <w:rFonts w:ascii="Times New Roman" w:eastAsia="Times New Roman" w:hAnsi="Times New Roman" w:cs="Times New Roman"/>
          <w:i/>
        </w:rPr>
        <w:t>The Munda World:</w:t>
      </w:r>
    </w:p>
    <w:p w14:paraId="5EEBBCEB" w14:textId="77777777" w:rsidR="003934E1" w:rsidRDefault="00000000">
      <w:pPr>
        <w:spacing w:after="200" w:line="360" w:lineRule="auto"/>
        <w:ind w:firstLine="720"/>
        <w:jc w:val="both"/>
        <w:rPr>
          <w:rFonts w:ascii="Times New Roman" w:eastAsia="Times New Roman" w:hAnsi="Times New Roman" w:cs="Times New Roman"/>
        </w:rPr>
      </w:pPr>
      <w:r>
        <w:rPr>
          <w:rFonts w:ascii="Times New Roman" w:eastAsia="Times New Roman" w:hAnsi="Times New Roman" w:cs="Times New Roman"/>
          <w:i/>
        </w:rPr>
        <w:t>Hoffmann Commemoration Volume</w:t>
      </w:r>
      <w:r>
        <w:rPr>
          <w:rFonts w:ascii="Times New Roman" w:eastAsia="Times New Roman" w:hAnsi="Times New Roman" w:cs="Times New Roman"/>
        </w:rPr>
        <w:t xml:space="preserve"> (pp. 29-35). Catholic Press. </w:t>
      </w:r>
    </w:p>
    <w:p w14:paraId="14BB60A9" w14:textId="77777777" w:rsidR="003934E1" w:rsidRDefault="00000000">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Sinha, S.P. (1964). </w:t>
      </w:r>
      <w:r>
        <w:rPr>
          <w:rFonts w:ascii="Times New Roman" w:eastAsia="Times New Roman" w:hAnsi="Times New Roman" w:cs="Times New Roman"/>
          <w:i/>
        </w:rPr>
        <w:t>LIFE AND TIMES OF BIRSA BHAGWAN</w:t>
      </w:r>
      <w:r>
        <w:rPr>
          <w:rFonts w:ascii="Times New Roman" w:eastAsia="Times New Roman" w:hAnsi="Times New Roman" w:cs="Times New Roman"/>
        </w:rPr>
        <w:t>. BIHAR TRIBAL RESEARCH</w:t>
      </w:r>
    </w:p>
    <w:p w14:paraId="7377EC56" w14:textId="77777777" w:rsidR="003934E1" w:rsidRDefault="00000000">
      <w:pPr>
        <w:spacing w:after="200" w:line="360" w:lineRule="auto"/>
        <w:ind w:firstLine="720"/>
        <w:jc w:val="both"/>
        <w:rPr>
          <w:rFonts w:ascii="Times New Roman" w:eastAsia="Times New Roman" w:hAnsi="Times New Roman" w:cs="Times New Roman"/>
        </w:rPr>
      </w:pPr>
      <w:r>
        <w:rPr>
          <w:rFonts w:ascii="Times New Roman" w:eastAsia="Times New Roman" w:hAnsi="Times New Roman" w:cs="Times New Roman"/>
        </w:rPr>
        <w:t>INSTITUTE.</w:t>
      </w:r>
    </w:p>
    <w:p w14:paraId="5AB2A13E" w14:textId="77777777" w:rsidR="003934E1" w:rsidRDefault="00000000">
      <w:pPr>
        <w:spacing w:after="200" w:line="360" w:lineRule="auto"/>
        <w:jc w:val="both"/>
        <w:rPr>
          <w:rFonts w:ascii="Times New Roman" w:eastAsia="Times New Roman" w:hAnsi="Times New Roman" w:cs="Times New Roman"/>
          <w:i/>
        </w:rPr>
      </w:pPr>
      <w:r>
        <w:rPr>
          <w:rFonts w:ascii="Times New Roman" w:eastAsia="Times New Roman" w:hAnsi="Times New Roman" w:cs="Times New Roman"/>
        </w:rPr>
        <w:t xml:space="preserve">Tete, P. (1986). </w:t>
      </w:r>
      <w:r>
        <w:rPr>
          <w:rFonts w:ascii="Times New Roman" w:eastAsia="Times New Roman" w:hAnsi="Times New Roman" w:cs="Times New Roman"/>
          <w:i/>
        </w:rPr>
        <w:t>A MISSIONARY SOCIAL WORKER IN INDIA: FR. J.B. Hoffmann, The Chota</w:t>
      </w:r>
    </w:p>
    <w:p w14:paraId="11E0A70F" w14:textId="77777777" w:rsidR="003934E1" w:rsidRDefault="00000000">
      <w:pPr>
        <w:spacing w:after="200" w:line="360" w:lineRule="auto"/>
        <w:ind w:firstLine="720"/>
        <w:jc w:val="both"/>
        <w:rPr>
          <w:rFonts w:ascii="Times New Roman" w:eastAsia="Times New Roman" w:hAnsi="Times New Roman" w:cs="Times New Roman"/>
        </w:rPr>
      </w:pPr>
      <w:r>
        <w:rPr>
          <w:rFonts w:ascii="Times New Roman" w:eastAsia="Times New Roman" w:hAnsi="Times New Roman" w:cs="Times New Roman"/>
          <w:i/>
        </w:rPr>
        <w:t>Nagpur Tenancy Act and the Catholic Co-operatives 1893-1928 (2</w:t>
      </w:r>
      <w:r>
        <w:rPr>
          <w:rFonts w:ascii="Times New Roman" w:eastAsia="Times New Roman" w:hAnsi="Times New Roman" w:cs="Times New Roman"/>
          <w:i/>
          <w:vertAlign w:val="superscript"/>
        </w:rPr>
        <w:t>nd</w:t>
      </w:r>
      <w:r>
        <w:rPr>
          <w:rFonts w:ascii="Times New Roman" w:eastAsia="Times New Roman" w:hAnsi="Times New Roman" w:cs="Times New Roman"/>
          <w:i/>
        </w:rPr>
        <w:t xml:space="preserve"> ed.)</w:t>
      </w:r>
      <w:r>
        <w:rPr>
          <w:rFonts w:ascii="Times New Roman" w:eastAsia="Times New Roman" w:hAnsi="Times New Roman" w:cs="Times New Roman"/>
        </w:rPr>
        <w:t xml:space="preserve">. Satya Bharathi. </w:t>
      </w:r>
    </w:p>
    <w:p w14:paraId="7275B4A0" w14:textId="77777777" w:rsidR="003934E1" w:rsidRDefault="003934E1">
      <w:pPr>
        <w:spacing w:after="200" w:line="360" w:lineRule="auto"/>
        <w:jc w:val="both"/>
        <w:rPr>
          <w:rFonts w:ascii="Times New Roman" w:eastAsia="Times New Roman" w:hAnsi="Times New Roman" w:cs="Times New Roman"/>
        </w:rPr>
      </w:pPr>
    </w:p>
    <w:p w14:paraId="289F5796" w14:textId="77777777" w:rsidR="003934E1" w:rsidRDefault="003934E1">
      <w:pPr>
        <w:spacing w:before="280" w:after="280" w:line="360" w:lineRule="auto"/>
        <w:jc w:val="both"/>
        <w:rPr>
          <w:rFonts w:ascii="Times New Roman" w:eastAsia="Times New Roman" w:hAnsi="Times New Roman" w:cs="Times New Roman"/>
        </w:rPr>
      </w:pPr>
    </w:p>
    <w:p w14:paraId="03EFD9E8" w14:textId="77777777" w:rsidR="003934E1" w:rsidRDefault="003934E1">
      <w:pPr>
        <w:spacing w:before="280" w:after="280" w:line="360" w:lineRule="auto"/>
        <w:jc w:val="both"/>
        <w:rPr>
          <w:rFonts w:ascii="Times New Roman" w:eastAsia="Times New Roman" w:hAnsi="Times New Roman" w:cs="Times New Roman"/>
        </w:rPr>
      </w:pPr>
    </w:p>
    <w:p w14:paraId="2387468A" w14:textId="77777777" w:rsidR="003934E1" w:rsidRDefault="003934E1">
      <w:pPr>
        <w:spacing w:before="280" w:after="280" w:line="360" w:lineRule="auto"/>
        <w:jc w:val="both"/>
        <w:rPr>
          <w:rFonts w:ascii="Times New Roman" w:eastAsia="Times New Roman" w:hAnsi="Times New Roman" w:cs="Times New Roman"/>
        </w:rPr>
      </w:pPr>
    </w:p>
    <w:p w14:paraId="17A9EAE3" w14:textId="77777777" w:rsidR="003934E1" w:rsidRDefault="003934E1">
      <w:pPr>
        <w:spacing w:before="280" w:after="280" w:line="360" w:lineRule="auto"/>
        <w:jc w:val="both"/>
        <w:rPr>
          <w:rFonts w:ascii="Times New Roman" w:eastAsia="Times New Roman" w:hAnsi="Times New Roman" w:cs="Times New Roman"/>
        </w:rPr>
      </w:pPr>
    </w:p>
    <w:p w14:paraId="6CA4B644" w14:textId="77777777" w:rsidR="003934E1" w:rsidRDefault="003934E1">
      <w:pPr>
        <w:spacing w:before="280" w:after="280" w:line="360" w:lineRule="auto"/>
        <w:jc w:val="both"/>
        <w:rPr>
          <w:rFonts w:ascii="Times New Roman" w:eastAsia="Times New Roman" w:hAnsi="Times New Roman" w:cs="Times New Roman"/>
        </w:rPr>
      </w:pPr>
    </w:p>
    <w:p w14:paraId="05F14A90" w14:textId="77777777" w:rsidR="003934E1" w:rsidRDefault="003934E1">
      <w:pPr>
        <w:spacing w:after="160" w:line="278" w:lineRule="auto"/>
        <w:jc w:val="center"/>
        <w:rPr>
          <w:rFonts w:ascii="Times New Roman" w:eastAsia="Times New Roman" w:hAnsi="Times New Roman" w:cs="Times New Roman"/>
          <w:b/>
          <w:sz w:val="28"/>
          <w:szCs w:val="28"/>
        </w:rPr>
      </w:pPr>
    </w:p>
    <w:p w14:paraId="14C63388" w14:textId="77777777" w:rsidR="003934E1" w:rsidRDefault="003934E1">
      <w:pPr>
        <w:spacing w:after="160" w:line="278" w:lineRule="auto"/>
        <w:jc w:val="center"/>
        <w:rPr>
          <w:rFonts w:ascii="Times New Roman" w:eastAsia="Times New Roman" w:hAnsi="Times New Roman" w:cs="Times New Roman"/>
          <w:b/>
          <w:sz w:val="28"/>
          <w:szCs w:val="28"/>
        </w:rPr>
      </w:pPr>
    </w:p>
    <w:p w14:paraId="12B3AB3F" w14:textId="77777777" w:rsidR="003934E1" w:rsidRDefault="00000000">
      <w:pPr>
        <w:spacing w:after="160" w:line="278" w:lineRule="auto"/>
        <w:rPr>
          <w:rFonts w:ascii="Times New Roman" w:eastAsia="Times New Roman" w:hAnsi="Times New Roman" w:cs="Times New Roman"/>
          <w:b/>
        </w:rPr>
      </w:pPr>
      <w:r>
        <w:rPr>
          <w:rFonts w:ascii="Times New Roman" w:eastAsia="Times New Roman" w:hAnsi="Times New Roman" w:cs="Times New Roman"/>
          <w:b/>
        </w:rPr>
        <w:t xml:space="preserve">Names of the Authors: </w:t>
      </w:r>
    </w:p>
    <w:p w14:paraId="11BD4444" w14:textId="77777777" w:rsidR="003934E1" w:rsidRDefault="00000000">
      <w:pPr>
        <w:spacing w:after="160" w:line="278" w:lineRule="auto"/>
        <w:rPr>
          <w:rFonts w:ascii="Times New Roman" w:eastAsia="Times New Roman" w:hAnsi="Times New Roman" w:cs="Times New Roman"/>
        </w:rPr>
      </w:pPr>
      <w:r>
        <w:rPr>
          <w:rFonts w:ascii="Times New Roman" w:eastAsia="Times New Roman" w:hAnsi="Times New Roman" w:cs="Times New Roman"/>
        </w:rPr>
        <w:t xml:space="preserve">Dr. Swati </w:t>
      </w:r>
      <w:proofErr w:type="spellStart"/>
      <w:r>
        <w:rPr>
          <w:rFonts w:ascii="Times New Roman" w:eastAsia="Times New Roman" w:hAnsi="Times New Roman" w:cs="Times New Roman"/>
        </w:rPr>
        <w:t>Bijawat</w:t>
      </w:r>
      <w:proofErr w:type="spellEnd"/>
      <w:r>
        <w:rPr>
          <w:rFonts w:ascii="Times New Roman" w:eastAsia="Times New Roman" w:hAnsi="Times New Roman" w:cs="Times New Roman"/>
        </w:rPr>
        <w:t xml:space="preserve"> [ Assistant Professor (Grade- III) “Sociology” in Amity University, Noida]</w:t>
      </w:r>
    </w:p>
    <w:p w14:paraId="24F096E8" w14:textId="77777777" w:rsidR="003934E1" w:rsidRDefault="00000000">
      <w:pPr>
        <w:spacing w:after="160" w:line="278" w:lineRule="auto"/>
        <w:rPr>
          <w:rFonts w:ascii="Times New Roman" w:eastAsia="Times New Roman" w:hAnsi="Times New Roman" w:cs="Times New Roman"/>
        </w:rPr>
      </w:pPr>
      <w:r>
        <w:rPr>
          <w:rFonts w:ascii="Times New Roman" w:eastAsia="Times New Roman" w:hAnsi="Times New Roman" w:cs="Times New Roman"/>
        </w:rPr>
        <w:t xml:space="preserve">Email id- </w:t>
      </w:r>
      <w:hyperlink r:id="rId55">
        <w:r w:rsidR="003934E1">
          <w:rPr>
            <w:rFonts w:ascii="Times New Roman" w:eastAsia="Times New Roman" w:hAnsi="Times New Roman" w:cs="Times New Roman"/>
            <w:color w:val="0563C1"/>
            <w:u w:val="single"/>
          </w:rPr>
          <w:t>swatibijawat21@gmail.com</w:t>
        </w:r>
      </w:hyperlink>
    </w:p>
    <w:p w14:paraId="3CDA1095" w14:textId="77777777" w:rsidR="003934E1" w:rsidRDefault="00000000">
      <w:pPr>
        <w:spacing w:after="160" w:line="278" w:lineRule="auto"/>
        <w:rPr>
          <w:rFonts w:ascii="Times New Roman" w:eastAsia="Times New Roman" w:hAnsi="Times New Roman" w:cs="Times New Roman"/>
        </w:rPr>
      </w:pPr>
      <w:r>
        <w:rPr>
          <w:rFonts w:ascii="Times New Roman" w:eastAsia="Times New Roman" w:hAnsi="Times New Roman" w:cs="Times New Roman"/>
        </w:rPr>
        <w:t xml:space="preserve">Mobile no.- 8802414625 </w:t>
      </w:r>
    </w:p>
    <w:p w14:paraId="14BAF6DA" w14:textId="77777777" w:rsidR="003934E1" w:rsidRDefault="00000000">
      <w:pPr>
        <w:spacing w:after="160" w:line="278" w:lineRule="auto"/>
        <w:rPr>
          <w:rFonts w:ascii="Times New Roman" w:eastAsia="Times New Roman" w:hAnsi="Times New Roman" w:cs="Times New Roman"/>
        </w:rPr>
      </w:pPr>
      <w:r>
        <w:rPr>
          <w:rFonts w:ascii="Times New Roman" w:eastAsia="Times New Roman" w:hAnsi="Times New Roman" w:cs="Times New Roman"/>
        </w:rPr>
        <w:lastRenderedPageBreak/>
        <w:t xml:space="preserve">Ms. Preet </w:t>
      </w:r>
      <w:proofErr w:type="spellStart"/>
      <w:r>
        <w:rPr>
          <w:rFonts w:ascii="Times New Roman" w:eastAsia="Times New Roman" w:hAnsi="Times New Roman" w:cs="Times New Roman"/>
        </w:rPr>
        <w:t>Hariyani</w:t>
      </w:r>
      <w:proofErr w:type="spellEnd"/>
      <w:r>
        <w:rPr>
          <w:rFonts w:ascii="Times New Roman" w:eastAsia="Times New Roman" w:hAnsi="Times New Roman" w:cs="Times New Roman"/>
        </w:rPr>
        <w:t xml:space="preserve"> [Undergraduate Student pursuing BALLB(H) in Amity University, Noida]</w:t>
      </w:r>
    </w:p>
    <w:p w14:paraId="639CD10D" w14:textId="77777777" w:rsidR="003934E1" w:rsidRDefault="00000000">
      <w:pPr>
        <w:spacing w:after="160" w:line="278" w:lineRule="auto"/>
        <w:rPr>
          <w:rFonts w:ascii="Times New Roman" w:eastAsia="Times New Roman" w:hAnsi="Times New Roman" w:cs="Times New Roman"/>
        </w:rPr>
      </w:pPr>
      <w:r>
        <w:rPr>
          <w:rFonts w:ascii="Times New Roman" w:eastAsia="Times New Roman" w:hAnsi="Times New Roman" w:cs="Times New Roman"/>
        </w:rPr>
        <w:t xml:space="preserve">Email id- </w:t>
      </w:r>
      <w:hyperlink r:id="rId56">
        <w:r w:rsidR="003934E1">
          <w:rPr>
            <w:rFonts w:ascii="Times New Roman" w:eastAsia="Times New Roman" w:hAnsi="Times New Roman" w:cs="Times New Roman"/>
            <w:color w:val="0563C1"/>
            <w:u w:val="single"/>
          </w:rPr>
          <w:t>hariyanipreet@gmail.com</w:t>
        </w:r>
      </w:hyperlink>
    </w:p>
    <w:p w14:paraId="120CC0FC" w14:textId="77777777" w:rsidR="003934E1" w:rsidRDefault="00000000">
      <w:pPr>
        <w:spacing w:after="160" w:line="278" w:lineRule="auto"/>
        <w:rPr>
          <w:rFonts w:ascii="Times New Roman" w:eastAsia="Times New Roman" w:hAnsi="Times New Roman" w:cs="Times New Roman"/>
        </w:rPr>
      </w:pPr>
      <w:r>
        <w:rPr>
          <w:rFonts w:ascii="Times New Roman" w:eastAsia="Times New Roman" w:hAnsi="Times New Roman" w:cs="Times New Roman"/>
        </w:rPr>
        <w:t>Mobile No.- 9302756636</w:t>
      </w:r>
    </w:p>
    <w:p w14:paraId="0E542E2F" w14:textId="77777777" w:rsidR="003934E1" w:rsidRDefault="00000000">
      <w:pPr>
        <w:spacing w:after="160" w:line="278" w:lineRule="auto"/>
        <w:rPr>
          <w:rFonts w:ascii="Times New Roman" w:eastAsia="Times New Roman" w:hAnsi="Times New Roman" w:cs="Times New Roman"/>
        </w:rPr>
      </w:pPr>
      <w:r>
        <w:rPr>
          <w:rFonts w:ascii="Times New Roman" w:eastAsia="Times New Roman" w:hAnsi="Times New Roman" w:cs="Times New Roman"/>
        </w:rPr>
        <w:t>Postal address- Amity Rd, Sector 125, Noida, Uttar Pradesh 201301</w:t>
      </w:r>
    </w:p>
    <w:p w14:paraId="4E7C821D" w14:textId="77777777" w:rsidR="003934E1" w:rsidRDefault="00000000">
      <w:pPr>
        <w:spacing w:after="160" w:line="278" w:lineRule="auto"/>
        <w:rPr>
          <w:rFonts w:ascii="Times New Roman" w:eastAsia="Times New Roman" w:hAnsi="Times New Roman" w:cs="Times New Roman"/>
        </w:rPr>
      </w:pPr>
      <w:r>
        <w:rPr>
          <w:rFonts w:ascii="Times New Roman" w:eastAsia="Times New Roman" w:hAnsi="Times New Roman" w:cs="Times New Roman"/>
        </w:rPr>
        <w:t>Country- India</w:t>
      </w:r>
    </w:p>
    <w:p w14:paraId="19985F7D" w14:textId="77777777" w:rsidR="003934E1" w:rsidRDefault="003934E1">
      <w:pPr>
        <w:spacing w:after="160" w:line="278" w:lineRule="auto"/>
        <w:jc w:val="center"/>
        <w:rPr>
          <w:rFonts w:ascii="Times New Roman" w:eastAsia="Times New Roman" w:hAnsi="Times New Roman" w:cs="Times New Roman"/>
          <w:b/>
          <w:sz w:val="28"/>
          <w:szCs w:val="28"/>
        </w:rPr>
      </w:pPr>
    </w:p>
    <w:p w14:paraId="059406CB" w14:textId="77777777" w:rsidR="003934E1" w:rsidRDefault="003934E1">
      <w:pPr>
        <w:spacing w:after="160" w:line="278" w:lineRule="auto"/>
        <w:jc w:val="center"/>
        <w:rPr>
          <w:rFonts w:ascii="Times New Roman" w:eastAsia="Times New Roman" w:hAnsi="Times New Roman" w:cs="Times New Roman"/>
          <w:b/>
          <w:sz w:val="28"/>
          <w:szCs w:val="28"/>
        </w:rPr>
      </w:pPr>
    </w:p>
    <w:p w14:paraId="1AD55F0F" w14:textId="77777777" w:rsidR="003934E1" w:rsidRDefault="00000000">
      <w:pPr>
        <w:spacing w:after="160" w:line="278"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LIFE, LEGACY AND HERITAGE OF BIRSA MUNDA</w:t>
      </w:r>
    </w:p>
    <w:p w14:paraId="06AC769A" w14:textId="77777777" w:rsidR="003934E1" w:rsidRDefault="00000000">
      <w:pPr>
        <w:spacing w:after="160" w:line="27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214EB59C"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Birsa Munda (1875–1900) was a famous tribal leader, religious figure, and freedom fighter. He holds a special place in Indian history. He was born in </w:t>
      </w:r>
      <w:proofErr w:type="spellStart"/>
      <w:r>
        <w:rPr>
          <w:rFonts w:ascii="Times New Roman" w:eastAsia="Times New Roman" w:hAnsi="Times New Roman" w:cs="Times New Roman"/>
        </w:rPr>
        <w:t>Ulihatu</w:t>
      </w:r>
      <w:proofErr w:type="spellEnd"/>
      <w:r>
        <w:rPr>
          <w:rFonts w:ascii="Times New Roman" w:eastAsia="Times New Roman" w:hAnsi="Times New Roman" w:cs="Times New Roman"/>
        </w:rPr>
        <w:t xml:space="preserve"> village in what is now Jharkhand. Birsa became well-known during a time when India was under British rule and tribal people faced a lot of hardship and unfair treatment. He led the Munda Rebellion, also called </w:t>
      </w:r>
      <w:proofErr w:type="spellStart"/>
      <w:r>
        <w:rPr>
          <w:rFonts w:ascii="Times New Roman" w:eastAsia="Times New Roman" w:hAnsi="Times New Roman" w:cs="Times New Roman"/>
          <w:i/>
        </w:rPr>
        <w:t>Ulgulan</w:t>
      </w:r>
      <w:proofErr w:type="spellEnd"/>
      <w:r>
        <w:rPr>
          <w:rFonts w:ascii="Times New Roman" w:eastAsia="Times New Roman" w:hAnsi="Times New Roman" w:cs="Times New Roman"/>
        </w:rPr>
        <w:t xml:space="preserve">, which means "The Great Tumult." This was not just a fight against British rule, but also a fight to protect tribal identity, freedom, and culture. Birsa worked hard to improve the lives of his people. He stood against land grabbing, forced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and forced religious conversion, which harmed the Adivasi (tribal) communities in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Birsa combined spiritual beliefs with political action. He inspired a shared movement based on tribal values and resistance. He dreamed of a world where tribal people could live with dignity and follow their own traditions and close bond with nature. His message still inspires tribal communities and others across India. He is remembered not only as a freedom fighter but also as a spiritual leader who tried to bring back harmony and strength to his people. He taught the importance of self-respect, unity, and the revival of tribal ways of life. These ideas still guide many modern movements that fight for tribal rights and self-rule. Sadly, many stories about tribal people have been told from colonial or outsider views. These often describe them as backward or unimportant. This has pushed tribal voices aside and ignored their rich history and wisdom. Birsa Munda’s story challenges these ideas and reminds us to listen to and value Adivasi voices—both in the past and today. Birsa’s memory lives not just in statues, but in stories, songs, and the everyday struggles of tribal people. His life is a strong reminder to fight against unfair systems and to build a fairer society based on equality, respect for nature, and human dignity. </w:t>
      </w:r>
      <w:proofErr w:type="spellStart"/>
      <w:r>
        <w:rPr>
          <w:rFonts w:ascii="Times New Roman" w:eastAsia="Times New Roman" w:hAnsi="Times New Roman" w:cs="Times New Roman"/>
        </w:rPr>
        <w:t>Honoring</w:t>
      </w:r>
      <w:proofErr w:type="spellEnd"/>
      <w:r>
        <w:rPr>
          <w:rFonts w:ascii="Times New Roman" w:eastAsia="Times New Roman" w:hAnsi="Times New Roman" w:cs="Times New Roman"/>
        </w:rPr>
        <w:t xml:space="preserve"> Birsa Munda means more than remembering the past. It means working to </w:t>
      </w:r>
      <w:r>
        <w:rPr>
          <w:rFonts w:ascii="Times New Roman" w:eastAsia="Times New Roman" w:hAnsi="Times New Roman" w:cs="Times New Roman"/>
        </w:rPr>
        <w:lastRenderedPageBreak/>
        <w:t>respect tribal knowledge, support their cultures, and protect their way of life. His legacy shows us how to reconnect with India’s tribal heritage and imagine a more inclusive national identity. Birsa Munda’s life encourages us to listen, learn, and take action to support the rights and hopes of tribal communities across India.</w:t>
      </w:r>
    </w:p>
    <w:p w14:paraId="6399D5F8"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b/>
        </w:rPr>
        <w:t xml:space="preserve">Keywords- </w:t>
      </w:r>
      <w:r>
        <w:rPr>
          <w:rFonts w:ascii="Times New Roman" w:eastAsia="Times New Roman" w:hAnsi="Times New Roman" w:cs="Times New Roman"/>
        </w:rPr>
        <w:t xml:space="preserve"> Birsa Munda, Adivasi resistance, Indigenous heritage, Tribal identity, Decolonization.</w:t>
      </w:r>
    </w:p>
    <w:p w14:paraId="1FB2830E" w14:textId="77777777" w:rsidR="003934E1" w:rsidRDefault="003934E1">
      <w:pPr>
        <w:spacing w:after="160" w:line="360" w:lineRule="auto"/>
        <w:jc w:val="both"/>
        <w:rPr>
          <w:rFonts w:ascii="Times New Roman" w:eastAsia="Times New Roman" w:hAnsi="Times New Roman" w:cs="Times New Roman"/>
        </w:rPr>
      </w:pPr>
    </w:p>
    <w:p w14:paraId="1E5A8282" w14:textId="77777777" w:rsidR="003934E1" w:rsidRDefault="00000000">
      <w:pPr>
        <w:spacing w:after="160" w:line="360" w:lineRule="auto"/>
        <w:jc w:val="both"/>
        <w:rPr>
          <w:rFonts w:ascii="Times New Roman" w:eastAsia="Times New Roman" w:hAnsi="Times New Roman" w:cs="Times New Roman"/>
          <w:b/>
        </w:rPr>
      </w:pPr>
      <w:r>
        <w:rPr>
          <w:rFonts w:ascii="Times New Roman" w:eastAsia="Times New Roman" w:hAnsi="Times New Roman" w:cs="Times New Roman"/>
          <w:b/>
        </w:rPr>
        <w:t>Names of the Author’s:</w:t>
      </w:r>
    </w:p>
    <w:p w14:paraId="114D8793" w14:textId="77777777" w:rsidR="003934E1" w:rsidRDefault="00000000">
      <w:pPr>
        <w:spacing w:after="16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Dr. Swati </w:t>
      </w:r>
      <w:proofErr w:type="spellStart"/>
      <w:r>
        <w:rPr>
          <w:rFonts w:ascii="Times New Roman" w:eastAsia="Times New Roman" w:hAnsi="Times New Roman" w:cs="Times New Roman"/>
          <w:b/>
        </w:rPr>
        <w:t>Bijawat</w:t>
      </w:r>
      <w:proofErr w:type="spellEnd"/>
      <w:r>
        <w:rPr>
          <w:rFonts w:ascii="Times New Roman" w:eastAsia="Times New Roman" w:hAnsi="Times New Roman" w:cs="Times New Roman"/>
          <w:b/>
        </w:rPr>
        <w:t xml:space="preserve"> [ Associate Professor “Sociology” in Amity University, Noida]</w:t>
      </w:r>
    </w:p>
    <w:p w14:paraId="6656DDC7" w14:textId="77777777" w:rsidR="003934E1" w:rsidRDefault="00000000">
      <w:pPr>
        <w:spacing w:after="160" w:line="360" w:lineRule="auto"/>
        <w:jc w:val="both"/>
        <w:rPr>
          <w:rFonts w:ascii="Times New Roman" w:eastAsia="Times New Roman" w:hAnsi="Times New Roman" w:cs="Times New Roman"/>
          <w:b/>
        </w:rPr>
      </w:pPr>
      <w:r>
        <w:rPr>
          <w:rFonts w:ascii="Times New Roman" w:eastAsia="Times New Roman" w:hAnsi="Times New Roman" w:cs="Times New Roman"/>
          <w:b/>
        </w:rPr>
        <w:t>Email id- swatibijawat21@gmail.com</w:t>
      </w:r>
    </w:p>
    <w:p w14:paraId="2D871128" w14:textId="77777777" w:rsidR="003934E1" w:rsidRDefault="00000000">
      <w:pPr>
        <w:spacing w:after="160" w:line="360" w:lineRule="auto"/>
        <w:jc w:val="both"/>
        <w:rPr>
          <w:rFonts w:ascii="Times New Roman" w:eastAsia="Times New Roman" w:hAnsi="Times New Roman" w:cs="Times New Roman"/>
          <w:b/>
        </w:rPr>
      </w:pPr>
      <w:r>
        <w:rPr>
          <w:rFonts w:ascii="Times New Roman" w:eastAsia="Times New Roman" w:hAnsi="Times New Roman" w:cs="Times New Roman"/>
          <w:b/>
        </w:rPr>
        <w:t>Mobile no.- 8802414625</w:t>
      </w:r>
    </w:p>
    <w:p w14:paraId="31A9FAA8" w14:textId="77777777" w:rsidR="003934E1" w:rsidRDefault="00000000">
      <w:pPr>
        <w:spacing w:after="16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Ms. Preet </w:t>
      </w:r>
      <w:proofErr w:type="spellStart"/>
      <w:r>
        <w:rPr>
          <w:rFonts w:ascii="Times New Roman" w:eastAsia="Times New Roman" w:hAnsi="Times New Roman" w:cs="Times New Roman"/>
          <w:b/>
        </w:rPr>
        <w:t>Hariyani</w:t>
      </w:r>
      <w:proofErr w:type="spellEnd"/>
      <w:r>
        <w:rPr>
          <w:rFonts w:ascii="Times New Roman" w:eastAsia="Times New Roman" w:hAnsi="Times New Roman" w:cs="Times New Roman"/>
          <w:b/>
        </w:rPr>
        <w:t xml:space="preserve"> [Undergraduate Student pursuing BALLB(H) in Amity University, Noida]</w:t>
      </w:r>
    </w:p>
    <w:p w14:paraId="6101D1AD" w14:textId="77777777" w:rsidR="003934E1" w:rsidRDefault="00000000">
      <w:pPr>
        <w:spacing w:after="160" w:line="360" w:lineRule="auto"/>
        <w:jc w:val="both"/>
        <w:rPr>
          <w:rFonts w:ascii="Times New Roman" w:eastAsia="Times New Roman" w:hAnsi="Times New Roman" w:cs="Times New Roman"/>
          <w:b/>
        </w:rPr>
      </w:pPr>
      <w:r>
        <w:rPr>
          <w:rFonts w:ascii="Times New Roman" w:eastAsia="Times New Roman" w:hAnsi="Times New Roman" w:cs="Times New Roman"/>
          <w:b/>
        </w:rPr>
        <w:t>Email id- hariyanipreet@gmail.com</w:t>
      </w:r>
    </w:p>
    <w:p w14:paraId="1DD5C11A" w14:textId="77777777" w:rsidR="003934E1" w:rsidRDefault="00000000">
      <w:pPr>
        <w:spacing w:after="160" w:line="360" w:lineRule="auto"/>
        <w:jc w:val="both"/>
        <w:rPr>
          <w:rFonts w:ascii="Times New Roman" w:eastAsia="Times New Roman" w:hAnsi="Times New Roman" w:cs="Times New Roman"/>
          <w:b/>
        </w:rPr>
      </w:pPr>
      <w:r>
        <w:rPr>
          <w:rFonts w:ascii="Times New Roman" w:eastAsia="Times New Roman" w:hAnsi="Times New Roman" w:cs="Times New Roman"/>
          <w:b/>
        </w:rPr>
        <w:t>Mobile No.- 9302756636</w:t>
      </w:r>
    </w:p>
    <w:p w14:paraId="2C5DC176" w14:textId="77777777" w:rsidR="003934E1" w:rsidRDefault="00000000">
      <w:pPr>
        <w:spacing w:after="160" w:line="360" w:lineRule="auto"/>
        <w:jc w:val="both"/>
        <w:rPr>
          <w:rFonts w:ascii="Times New Roman" w:eastAsia="Times New Roman" w:hAnsi="Times New Roman" w:cs="Times New Roman"/>
          <w:b/>
        </w:rPr>
      </w:pPr>
      <w:r>
        <w:rPr>
          <w:rFonts w:ascii="Times New Roman" w:eastAsia="Times New Roman" w:hAnsi="Times New Roman" w:cs="Times New Roman"/>
          <w:b/>
        </w:rPr>
        <w:t>Postal address- Amity Rd, Sector 125, Noida, Uttar Pradesh 201301</w:t>
      </w:r>
    </w:p>
    <w:p w14:paraId="23D39C7E" w14:textId="77777777" w:rsidR="003934E1" w:rsidRDefault="00000000">
      <w:pPr>
        <w:spacing w:after="160" w:line="360" w:lineRule="auto"/>
        <w:jc w:val="both"/>
        <w:rPr>
          <w:rFonts w:ascii="Times New Roman" w:eastAsia="Times New Roman" w:hAnsi="Times New Roman" w:cs="Times New Roman"/>
          <w:b/>
        </w:rPr>
      </w:pPr>
      <w:r>
        <w:rPr>
          <w:rFonts w:ascii="Times New Roman" w:eastAsia="Times New Roman" w:hAnsi="Times New Roman" w:cs="Times New Roman"/>
          <w:b/>
        </w:rPr>
        <w:t>Country- India</w:t>
      </w:r>
    </w:p>
    <w:p w14:paraId="08275256" w14:textId="77777777" w:rsidR="003934E1" w:rsidRDefault="00000000">
      <w:pPr>
        <w:spacing w:after="16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LIFE, LEGACY AND HERITAGE OF BIRSA MUNDA</w:t>
      </w:r>
    </w:p>
    <w:p w14:paraId="678E686F" w14:textId="77777777" w:rsidR="003934E1" w:rsidRDefault="00000000">
      <w:pPr>
        <w:spacing w:after="16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14:paraId="5D495732"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One name that shines brightly in India's struggle for independence is </w:t>
      </w:r>
      <w:r>
        <w:rPr>
          <w:rFonts w:ascii="Times New Roman" w:eastAsia="Times New Roman" w:hAnsi="Times New Roman" w:cs="Times New Roman"/>
          <w:b/>
        </w:rPr>
        <w:t>Birsa Munda</w:t>
      </w:r>
      <w:r>
        <w:rPr>
          <w:rFonts w:ascii="Times New Roman" w:eastAsia="Times New Roman" w:hAnsi="Times New Roman" w:cs="Times New Roman"/>
        </w:rPr>
        <w:t xml:space="preserve">, especially among the tribal communities of </w:t>
      </w:r>
      <w:proofErr w:type="spellStart"/>
      <w:r>
        <w:rPr>
          <w:rFonts w:ascii="Times New Roman" w:eastAsia="Times New Roman" w:hAnsi="Times New Roman" w:cs="Times New Roman"/>
          <w:b/>
        </w:rPr>
        <w:t>Chhotanagpur</w:t>
      </w:r>
      <w:proofErr w:type="spellEnd"/>
      <w:r>
        <w:rPr>
          <w:rFonts w:ascii="Times New Roman" w:eastAsia="Times New Roman" w:hAnsi="Times New Roman" w:cs="Times New Roman"/>
        </w:rPr>
        <w:t xml:space="preserve">, now located in </w:t>
      </w:r>
      <w:r>
        <w:rPr>
          <w:rFonts w:ascii="Times New Roman" w:eastAsia="Times New Roman" w:hAnsi="Times New Roman" w:cs="Times New Roman"/>
          <w:b/>
        </w:rPr>
        <w:t>Jharkhand</w:t>
      </w:r>
      <w:r>
        <w:rPr>
          <w:rFonts w:ascii="Times New Roman" w:eastAsia="Times New Roman" w:hAnsi="Times New Roman" w:cs="Times New Roman"/>
        </w:rPr>
        <w:t xml:space="preserve">. Born in the small village of </w:t>
      </w:r>
      <w:proofErr w:type="spellStart"/>
      <w:r>
        <w:rPr>
          <w:rFonts w:ascii="Times New Roman" w:eastAsia="Times New Roman" w:hAnsi="Times New Roman" w:cs="Times New Roman"/>
          <w:b/>
        </w:rPr>
        <w:t>Ulihatu</w:t>
      </w:r>
      <w:proofErr w:type="spellEnd"/>
      <w:r>
        <w:rPr>
          <w:rFonts w:ascii="Times New Roman" w:eastAsia="Times New Roman" w:hAnsi="Times New Roman" w:cs="Times New Roman"/>
        </w:rPr>
        <w:t xml:space="preserve"> in the late 1800s, Birsa Munda rose to become a remarkable tribal leader and freedom fighter. He led the </w:t>
      </w:r>
      <w:proofErr w:type="spellStart"/>
      <w:r>
        <w:rPr>
          <w:rFonts w:ascii="Times New Roman" w:eastAsia="Times New Roman" w:hAnsi="Times New Roman" w:cs="Times New Roman"/>
          <w:b/>
        </w:rPr>
        <w:t>Ulgulan</w:t>
      </w:r>
      <w:proofErr w:type="spellEnd"/>
      <w:r>
        <w:rPr>
          <w:rFonts w:ascii="Times New Roman" w:eastAsia="Times New Roman" w:hAnsi="Times New Roman" w:cs="Times New Roman"/>
          <w:b/>
        </w:rPr>
        <w:t xml:space="preserve"> Movement</w:t>
      </w:r>
      <w:r>
        <w:rPr>
          <w:rFonts w:ascii="Times New Roman" w:eastAsia="Times New Roman" w:hAnsi="Times New Roman" w:cs="Times New Roman"/>
        </w:rPr>
        <w:t xml:space="preserve">, a large-scale uprising against the British rulers and exploitative landowners who were taking advantage of the tribal people. Birsa Munda’s life and contribution have been studied and written about by many scholars. One significant work is </w:t>
      </w:r>
      <w:r>
        <w:rPr>
          <w:rFonts w:ascii="Times New Roman" w:eastAsia="Times New Roman" w:hAnsi="Times New Roman" w:cs="Times New Roman"/>
          <w:i/>
        </w:rPr>
        <w:t>"Birsa Munda and His Movement: 1874–1901"</w:t>
      </w:r>
      <w:r>
        <w:rPr>
          <w:rFonts w:ascii="Times New Roman" w:eastAsia="Times New Roman" w:hAnsi="Times New Roman" w:cs="Times New Roman"/>
        </w:rPr>
        <w:t xml:space="preserve">, which gives detailed insights into his journey and the conditions under which he lived and fought. Another important book, </w:t>
      </w:r>
      <w:r>
        <w:rPr>
          <w:rFonts w:ascii="Times New Roman" w:eastAsia="Times New Roman" w:hAnsi="Times New Roman" w:cs="Times New Roman"/>
          <w:i/>
        </w:rPr>
        <w:t>"Birsa Munda: The Tribal Hero"</w:t>
      </w:r>
      <w:r>
        <w:rPr>
          <w:rFonts w:ascii="Times New Roman" w:eastAsia="Times New Roman" w:hAnsi="Times New Roman" w:cs="Times New Roman"/>
        </w:rPr>
        <w:t xml:space="preserve">, focuses on his spiritual awakening and his dream of </w:t>
      </w:r>
      <w:r>
        <w:rPr>
          <w:rFonts w:ascii="Times New Roman" w:eastAsia="Times New Roman" w:hAnsi="Times New Roman" w:cs="Times New Roman"/>
        </w:rPr>
        <w:lastRenderedPageBreak/>
        <w:t xml:space="preserve">securing dignity and freedom for the tribal population. To utterly understand Birsa’s leadership, it is important to look at the situation in India under British rule in the 19th century. The British East India Company aimed to profit from India's rich resources, and this led to severe hardships for tribal communities like the </w:t>
      </w:r>
      <w:proofErr w:type="spellStart"/>
      <w:r>
        <w:rPr>
          <w:rFonts w:ascii="Times New Roman" w:eastAsia="Times New Roman" w:hAnsi="Times New Roman" w:cs="Times New Roman"/>
          <w:b/>
        </w:rPr>
        <w:t>Mundas</w:t>
      </w:r>
      <w:proofErr w:type="spellEnd"/>
      <w:r>
        <w:rPr>
          <w:rFonts w:ascii="Times New Roman" w:eastAsia="Times New Roman" w:hAnsi="Times New Roman" w:cs="Times New Roman"/>
        </w:rPr>
        <w:t xml:space="preserve"> and </w:t>
      </w:r>
      <w:r>
        <w:rPr>
          <w:rFonts w:ascii="Times New Roman" w:eastAsia="Times New Roman" w:hAnsi="Times New Roman" w:cs="Times New Roman"/>
          <w:b/>
        </w:rPr>
        <w:t>Santhals</w:t>
      </w:r>
      <w:r>
        <w:rPr>
          <w:rFonts w:ascii="Times New Roman" w:eastAsia="Times New Roman" w:hAnsi="Times New Roman" w:cs="Times New Roman"/>
        </w:rPr>
        <w:t xml:space="preserve">. These groups, who had a deep connection with their land and culture, were forced off their ancestral lands, made to work without fair pay, and steadily lost touch with their traditional identity. Birsa Munda’s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Movement was not only a fight against colonial rule, but also a call to protect tribal culture and rights. It was a bold expression of resistance that shook the foundations of British authority. The movement also helped revive tribal customs and beliefs, including the worship of </w:t>
      </w:r>
      <w:r>
        <w:rPr>
          <w:rFonts w:ascii="Times New Roman" w:eastAsia="Times New Roman" w:hAnsi="Times New Roman" w:cs="Times New Roman"/>
          <w:b/>
        </w:rPr>
        <w:t>Dharti Aba</w:t>
      </w:r>
      <w:r>
        <w:rPr>
          <w:rFonts w:ascii="Times New Roman" w:eastAsia="Times New Roman" w:hAnsi="Times New Roman" w:cs="Times New Roman"/>
        </w:rPr>
        <w:t>, or Father Earth, who held a special place in their faith. This worship was not about religion it reflected the tribal way of life, promoting care for nature and unity among the people.</w:t>
      </w:r>
      <w:r>
        <w:rPr>
          <w:rFonts w:ascii="Times New Roman" w:eastAsia="Times New Roman" w:hAnsi="Times New Roman" w:cs="Times New Roman"/>
          <w:vertAlign w:val="superscript"/>
        </w:rPr>
        <w:footnoteReference w:id="72"/>
      </w:r>
    </w:p>
    <w:p w14:paraId="61A2F014"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Birsa Munda is remembered not only as a freedom fighter but as a lasting symbol of tribal pride, unity, and resistance. At a time when the voices of Adivasi communities were ignored, he rose to speak for their struggles, laying the foundation for future tribal movements across India. Despite his short life he passed away at just 25 Birsa left behind a legacy that proved age is no barrier when leadership is driven by courage, vision, and a deep connection to one’s roots. More than a political figure, he was a spiritual and social reformer who encouraged his people to break away from harmful practices like superstition and alcoholism, and to reclaim their dignity and self-respect. He became a fearless challenger of injustice, resisting the exploitation of tribal lands and resources and inspiring communities to assert their rights over their forests, farms, and water sources. His influence continues to be felt today, as his name is honoured in textbooks, songs, statues, universities, and commemorative events. Although his movement began in the </w:t>
      </w:r>
      <w:proofErr w:type="spellStart"/>
      <w:r>
        <w:rPr>
          <w:rFonts w:ascii="Times New Roman" w:eastAsia="Times New Roman" w:hAnsi="Times New Roman" w:cs="Times New Roman"/>
        </w:rPr>
        <w:t>Chhotanagpur</w:t>
      </w:r>
      <w:proofErr w:type="spellEnd"/>
      <w:r>
        <w:rPr>
          <w:rFonts w:ascii="Times New Roman" w:eastAsia="Times New Roman" w:hAnsi="Times New Roman" w:cs="Times New Roman"/>
        </w:rPr>
        <w:t xml:space="preserve"> region, his message of cultural revival and justice has reached tribal populations far beyond, resonating even with indigenous movements across the globe. In recognition of his immense contribution, the Indian government has declared his birth anniversary as </w:t>
      </w:r>
      <w:proofErr w:type="spellStart"/>
      <w:r>
        <w:rPr>
          <w:rFonts w:ascii="Times New Roman" w:eastAsia="Times New Roman" w:hAnsi="Times New Roman" w:cs="Times New Roman"/>
        </w:rPr>
        <w:t>Janjatiya</w:t>
      </w:r>
      <w:proofErr w:type="spellEnd"/>
      <w:r>
        <w:rPr>
          <w:rFonts w:ascii="Times New Roman" w:eastAsia="Times New Roman" w:hAnsi="Times New Roman" w:cs="Times New Roman"/>
        </w:rPr>
        <w:t xml:space="preserve"> Gaurav Divas (Tribal Pride Day), a tribute to his unmatched role in shaping tribal identity and resistance. In a time when traditional ways of life were under threat, Birsa Munda stood as a powerful reminder of the richness of tribal heritage language, customs, agricultural practices, and the sacred bond with nature and worked tirelessly to preserve it for generations to come.</w:t>
      </w:r>
    </w:p>
    <w:p w14:paraId="42E12414" w14:textId="77777777" w:rsidR="003934E1" w:rsidRDefault="00000000">
      <w:pPr>
        <w:spacing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EARLY LIFE AND TRIBAL ROOTS</w:t>
      </w:r>
    </w:p>
    <w:p w14:paraId="5231F3EC"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Birsa Munda was born on </w:t>
      </w:r>
      <w:r>
        <w:rPr>
          <w:rFonts w:ascii="Times New Roman" w:eastAsia="Times New Roman" w:hAnsi="Times New Roman" w:cs="Times New Roman"/>
          <w:b/>
        </w:rPr>
        <w:t>November 15, 1875</w:t>
      </w:r>
      <w:r>
        <w:rPr>
          <w:rFonts w:ascii="Times New Roman" w:eastAsia="Times New Roman" w:hAnsi="Times New Roman" w:cs="Times New Roman"/>
        </w:rPr>
        <w:t xml:space="preserve">, in the small village of </w:t>
      </w:r>
      <w:proofErr w:type="spellStart"/>
      <w:r>
        <w:rPr>
          <w:rFonts w:ascii="Times New Roman" w:eastAsia="Times New Roman" w:hAnsi="Times New Roman" w:cs="Times New Roman"/>
          <w:b/>
        </w:rPr>
        <w:t>Ulihatu</w:t>
      </w:r>
      <w:proofErr w:type="spellEnd"/>
      <w:r>
        <w:rPr>
          <w:rFonts w:ascii="Times New Roman" w:eastAsia="Times New Roman" w:hAnsi="Times New Roman" w:cs="Times New Roman"/>
        </w:rPr>
        <w:t xml:space="preserve">, located in the </w:t>
      </w:r>
      <w:proofErr w:type="spellStart"/>
      <w:r>
        <w:rPr>
          <w:rFonts w:ascii="Times New Roman" w:eastAsia="Times New Roman" w:hAnsi="Times New Roman" w:cs="Times New Roman"/>
          <w:b/>
        </w:rPr>
        <w:t>Chhotanagpur</w:t>
      </w:r>
      <w:proofErr w:type="spellEnd"/>
      <w:r>
        <w:rPr>
          <w:rFonts w:ascii="Times New Roman" w:eastAsia="Times New Roman" w:hAnsi="Times New Roman" w:cs="Times New Roman"/>
          <w:b/>
        </w:rPr>
        <w:t xml:space="preserve"> plateau</w:t>
      </w:r>
      <w:r>
        <w:rPr>
          <w:rFonts w:ascii="Times New Roman" w:eastAsia="Times New Roman" w:hAnsi="Times New Roman" w:cs="Times New Roman"/>
        </w:rPr>
        <w:t xml:space="preserve"> region of what is now </w:t>
      </w:r>
      <w:r>
        <w:rPr>
          <w:rFonts w:ascii="Times New Roman" w:eastAsia="Times New Roman" w:hAnsi="Times New Roman" w:cs="Times New Roman"/>
          <w:b/>
        </w:rPr>
        <w:t>Jharkhand</w:t>
      </w:r>
      <w:r>
        <w:rPr>
          <w:rFonts w:ascii="Times New Roman" w:eastAsia="Times New Roman" w:hAnsi="Times New Roman" w:cs="Times New Roman"/>
        </w:rPr>
        <w:t xml:space="preserve">. He belonged to the </w:t>
      </w:r>
      <w:r>
        <w:rPr>
          <w:rFonts w:ascii="Times New Roman" w:eastAsia="Times New Roman" w:hAnsi="Times New Roman" w:cs="Times New Roman"/>
          <w:b/>
        </w:rPr>
        <w:t>Munda tribe</w:t>
      </w:r>
      <w:r>
        <w:rPr>
          <w:rFonts w:ascii="Times New Roman" w:eastAsia="Times New Roman" w:hAnsi="Times New Roman" w:cs="Times New Roman"/>
        </w:rPr>
        <w:t xml:space="preserve">, one of the many Indigenous communities of India that had lived for generations in close connection with nature, following a lifestyle rooted in farming, forest-based livelihoods, and spiritual traditions. His family was poor but lived a life filled with simplicity and deep cultural values.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like many other tribal groups, had their customs, language, religious beliefs, and systems of self-governance that were passed down through oral traditions.</w:t>
      </w:r>
      <w:r>
        <w:rPr>
          <w:rFonts w:ascii="Times New Roman" w:eastAsia="Times New Roman" w:hAnsi="Times New Roman" w:cs="Times New Roman"/>
          <w:vertAlign w:val="superscript"/>
        </w:rPr>
        <w:footnoteReference w:id="73"/>
      </w:r>
    </w:p>
    <w:p w14:paraId="61678AB6"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Birsa’s childhood was spent in the lap of nature surrounded by hills, forests, rivers, and farming fields. His early life was shaped by the rhythms of tribal life, where land was not seen as a commodity, but as a sacred gift. Every part of nature was respected, and people lived in harmony with their environment. From an early age, Birsa observed the daily struggles of his family and neighbours, especially as outsider’s British officials and money-hungry landowners began taking control of tribal lands. These intrusions disrupted the peaceful life the community had known for generations. The loss of land meant the loss of identity and security, forcing many tribal families into poverty and bonded labour.</w:t>
      </w:r>
    </w:p>
    <w:p w14:paraId="5C414A1F"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Birsa was raised in a strong community environment, where elders played a key role in teaching children about their heritage, values, and the history of their ancestors. Through storytelling, folk songs, and rituals, Birsa learned about past tribal heroes and the importance of resistance. He was a bright child with a questioning mind. Though he received some formal education at a missionary school, he was more influenced by the voices and wisdom of his own people. His brief time at school exposed him to innovative ideas, but it also made him aware of the cultural and religious pressures faced by tribal children under British influence. His family later moved to different villages in search of better opportunities, including </w:t>
      </w:r>
      <w:proofErr w:type="spellStart"/>
      <w:r>
        <w:rPr>
          <w:rFonts w:ascii="Times New Roman" w:eastAsia="Times New Roman" w:hAnsi="Times New Roman" w:cs="Times New Roman"/>
          <w:b/>
        </w:rPr>
        <w:t>Chakradharpur</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b/>
        </w:rPr>
        <w:t>Chaibasa</w:t>
      </w:r>
      <w:proofErr w:type="spellEnd"/>
      <w:r>
        <w:rPr>
          <w:rFonts w:ascii="Times New Roman" w:eastAsia="Times New Roman" w:hAnsi="Times New Roman" w:cs="Times New Roman"/>
        </w:rPr>
        <w:t>, where Birsa came into closer contact with the growing presence of colonial rule and Christian missionaries. These experiences helped him understand how deeply his people were being affected not just economically, but spiritually and socially as well. He saw how traditional ways were being replaced by foreign systems that did not understand or respect tribal life.</w:t>
      </w:r>
    </w:p>
    <w:p w14:paraId="4FC57794"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Birsa’s early years laid the foundation for his later leadership. The values he learned at home respect for land, love for community, belief in justice, and deep spiritual faith remained with him throughout his life. His bond with nature and his people’s pain became the roots of the powerful voice he would later become. These humble beginnings shaped him into more than just a rebel; they shaped him into a symbol of tribal hope and resistance.</w:t>
      </w:r>
    </w:p>
    <w:p w14:paraId="65894D51" w14:textId="77777777" w:rsidR="003934E1" w:rsidRDefault="00000000">
      <w:pPr>
        <w:spacing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BIRSA MUNDA: CATALYST OF TRIBAL EMPOWERMENT AND RESISTANCE</w:t>
      </w:r>
    </w:p>
    <w:p w14:paraId="5F68137C"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Birsa Munda’s leadership during the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Movement holds deep importance because of the suffering his people faced under British rule. His early life in the village of </w:t>
      </w:r>
      <w:proofErr w:type="spellStart"/>
      <w:r>
        <w:rPr>
          <w:rFonts w:ascii="Times New Roman" w:eastAsia="Times New Roman" w:hAnsi="Times New Roman" w:cs="Times New Roman"/>
        </w:rPr>
        <w:t>Ulihatu</w:t>
      </w:r>
      <w:proofErr w:type="spellEnd"/>
      <w:r>
        <w:rPr>
          <w:rFonts w:ascii="Times New Roman" w:eastAsia="Times New Roman" w:hAnsi="Times New Roman" w:cs="Times New Roman"/>
        </w:rPr>
        <w:t xml:space="preserve"> played a key role in shaping his personality and helping him understand the hardships of his community. Born into the Munda tribe, Birsa grew up surrounded by traditional tribal customs and values in a small village in the </w:t>
      </w:r>
      <w:proofErr w:type="spellStart"/>
      <w:r>
        <w:rPr>
          <w:rFonts w:ascii="Times New Roman" w:eastAsia="Times New Roman" w:hAnsi="Times New Roman" w:cs="Times New Roman"/>
        </w:rPr>
        <w:t>Chhotanagpur</w:t>
      </w:r>
      <w:proofErr w:type="spellEnd"/>
      <w:r>
        <w:rPr>
          <w:rFonts w:ascii="Times New Roman" w:eastAsia="Times New Roman" w:hAnsi="Times New Roman" w:cs="Times New Roman"/>
        </w:rPr>
        <w:t xml:space="preserve"> region. From an early age, he witnessed the harsh realities of his surroundings, where the British and local landowners were taking over tribal lands and misusing natural resources.</w:t>
      </w:r>
    </w:p>
    <w:p w14:paraId="36C06DF0"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In this close-knit village setting, Birsa often listened to stories from elders about the struggles and bravery of past generations who resisted injustice. These stories left a strong impression on him and sparked a desire to fight back against the unfair systems that were harming his people. Over time, he came to believe that unity was the only way to bring about real change. He began to encourage tribal communities to stand together and resist both the colonial government and the ongoing oppression from landowners. The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Movement, which he led, was not just about political protest.</w:t>
      </w:r>
      <w:r>
        <w:rPr>
          <w:rFonts w:ascii="Times New Roman" w:eastAsia="Times New Roman" w:hAnsi="Times New Roman" w:cs="Times New Roman"/>
          <w:vertAlign w:val="superscript"/>
        </w:rPr>
        <w:footnoteReference w:id="74"/>
      </w:r>
      <w:r>
        <w:rPr>
          <w:rFonts w:ascii="Times New Roman" w:eastAsia="Times New Roman" w:hAnsi="Times New Roman" w:cs="Times New Roman"/>
        </w:rPr>
        <w:t xml:space="preserve"> It also focused on reclaiming the land that belonged to the tribes, protecting their cultural traditions, and preserving their unique way of life. Birsa’s leadership was deeply spiritual too. He was influenced by the teachings of tribal elders and the powerful belief in Dharti Aba Father Earth- a symbol of strength, unity, and life. This spiritual connection gave his leadership a deeper meaning and helped him bond closely with his followers.</w:t>
      </w:r>
    </w:p>
    <w:p w14:paraId="0F466DA0"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Birsa came to be seen as a messenger of Dharti Aba, and through him, tribal people felt a stronger sense of identity and purpose. The worship of Dharti Aba was not just religious; it brought the community together and reminded them of their deep bond with nature.</w:t>
      </w:r>
    </w:p>
    <w:p w14:paraId="1BE85A02"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In short, Birsa Munda’s leadership stood on three strong pillars: his deep compassion for his people’s suffering, his belief in collective action, and his spiritual commitment to tribal values. His legacy continues to inspire calls for unity against injustice, revival of cultural heritage, and the protection of tribal identity even today.</w:t>
      </w:r>
    </w:p>
    <w:p w14:paraId="3BD1D21F" w14:textId="77777777" w:rsidR="003934E1" w:rsidRDefault="00000000">
      <w:pPr>
        <w:spacing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FORMATIVE</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YEARS AND LIFE LESSONS THAT MOULDED BIRSA MUNDA</w:t>
      </w:r>
    </w:p>
    <w:p w14:paraId="7B76CF77"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experiences Birsa Munda had during his early life in the small village of </w:t>
      </w:r>
      <w:proofErr w:type="spellStart"/>
      <w:r>
        <w:rPr>
          <w:rFonts w:ascii="Times New Roman" w:eastAsia="Times New Roman" w:hAnsi="Times New Roman" w:cs="Times New Roman"/>
        </w:rPr>
        <w:t>Ulihatu</w:t>
      </w:r>
      <w:proofErr w:type="spellEnd"/>
      <w:r>
        <w:rPr>
          <w:rFonts w:ascii="Times New Roman" w:eastAsia="Times New Roman" w:hAnsi="Times New Roman" w:cs="Times New Roman"/>
        </w:rPr>
        <w:t xml:space="preserve"> played a key role in shaping his values and personality. Growing up within the Munda tribe, Birsa was deeply influenced by its rich cultural heritage, traditions, and close-knit community life. The guidance of tribal elders had a lasting impact on him. These wise figures were well-respected within the community and carried deep knowledge of their people's history, customs, and struggles. Through stories, songs, and oral traditions, they passed on lessons of courage, unity, and resilience to Birsa. They taught him the importance of living in harmony with nature, respecting the land, and standing together in tough times. Living amidst the natural surroundings of </w:t>
      </w:r>
      <w:proofErr w:type="spellStart"/>
      <w:r>
        <w:rPr>
          <w:rFonts w:ascii="Times New Roman" w:eastAsia="Times New Roman" w:hAnsi="Times New Roman" w:cs="Times New Roman"/>
        </w:rPr>
        <w:t>Ulihatu</w:t>
      </w:r>
      <w:proofErr w:type="spellEnd"/>
      <w:r>
        <w:rPr>
          <w:rFonts w:ascii="Times New Roman" w:eastAsia="Times New Roman" w:hAnsi="Times New Roman" w:cs="Times New Roman"/>
        </w:rPr>
        <w:t>, Birsa developed a strong emotional connection with the land, forests, and rivers. The Munda community depended heavily on natural resources for survival, and Birsa observed firsthand the deep relationship between nature and daily life. These early observations helped him grow a sense of responsibility towards protecting the environment and resisting any forces that threatened the traditional way of life.</w:t>
      </w:r>
      <w:r>
        <w:rPr>
          <w:rFonts w:ascii="Times New Roman" w:eastAsia="Times New Roman" w:hAnsi="Times New Roman" w:cs="Times New Roman"/>
          <w:vertAlign w:val="superscript"/>
        </w:rPr>
        <w:footnoteReference w:id="75"/>
      </w:r>
      <w:r>
        <w:rPr>
          <w:rFonts w:ascii="Times New Roman" w:eastAsia="Times New Roman" w:hAnsi="Times New Roman" w:cs="Times New Roman"/>
        </w:rPr>
        <w:t xml:space="preserve"> Alongside these influences, Birsa also witnessed the suffering of his people under British rule and the cruelty of local landowners. The loss of land, unfair treatment, and forced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imposed on tribal families left a deep impression on him. These painful experiences stirred in him a keen sense of justice and pushed him to stand up for the rights of his people.</w:t>
      </w:r>
    </w:p>
    <w:p w14:paraId="18021121"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One of the most influential figures in Birsa’s childhood was his maternal uncle, Mundra Munda, a respected village leader. Young Birsa admired his uncle’s leadership, compassion, and dedication to the community. His uncle’s words and actions taught him the importance of standing firm in the face of oppression and caring for the well-being of others.</w:t>
      </w:r>
    </w:p>
    <w:p w14:paraId="2257CD12"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All of these early life experiences from the cultural teachings of tribal elders to the painful realities of colonial exploitation helped shape Birsa into a compassionate, determined, and fearless leader. They planted the seeds of resistance in his heart and laid the foundation for his </w:t>
      </w:r>
      <w:r>
        <w:rPr>
          <w:rFonts w:ascii="Times New Roman" w:eastAsia="Times New Roman" w:hAnsi="Times New Roman" w:cs="Times New Roman"/>
        </w:rPr>
        <w:lastRenderedPageBreak/>
        <w:t xml:space="preserve">future role as the guiding force behind the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Movement, where he would fight for the dignity, land, and identity of his people.</w:t>
      </w:r>
    </w:p>
    <w:p w14:paraId="1D62FA37" w14:textId="77777777" w:rsidR="003934E1" w:rsidRDefault="00000000">
      <w:pPr>
        <w:spacing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BRITISH RULE AND THE SUFFERING OF TRIBAL COMMUNITIES</w:t>
      </w:r>
    </w:p>
    <w:p w14:paraId="7925DF2D"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During the 19th century, British colonial rule caused severe disruption to the lives of tribal communities such as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Santhals, and others across regions like </w:t>
      </w:r>
      <w:proofErr w:type="spellStart"/>
      <w:r>
        <w:rPr>
          <w:rFonts w:ascii="Times New Roman" w:eastAsia="Times New Roman" w:hAnsi="Times New Roman" w:cs="Times New Roman"/>
        </w:rPr>
        <w:t>Chhotanagpur</w:t>
      </w:r>
      <w:proofErr w:type="spellEnd"/>
      <w:r>
        <w:rPr>
          <w:rFonts w:ascii="Times New Roman" w:eastAsia="Times New Roman" w:hAnsi="Times New Roman" w:cs="Times New Roman"/>
        </w:rPr>
        <w:t>. As the British Empire expanded its control over India, it introduced economic systems that were designed to exploit the country’s resources for profit. These policies deeply affected Indigenous tribes who had lived for centuries in harmony with their land and forests.</w:t>
      </w:r>
    </w:p>
    <w:p w14:paraId="3CEFC153"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One of the most damaging changes was the introduction of new land revenue systems, such as zamindari and ryotwari. These systems replaced the traditional tribal practice of communal land ownership with individual land titles and private property laws. As a result, tribal people who had never thought of land as something to be owned or sold found themselves pushed off their ancestral lands. Many lost their homes and livelihoods and were forced into debt, displacement, and bonded labour. These changes not only disrupted their way of life but also led to the slow breakdown of their cultural and social fabric. The British policies stripped tribal communities of their rights, weakened their traditional leadership, and exposed them to exploitation by landowners and moneylenders. What had once been a self-sufficient and peaceful existence was now marked by loss, hardship, and resistance.</w:t>
      </w:r>
    </w:p>
    <w:p w14:paraId="54D87048" w14:textId="77777777" w:rsidR="003934E1" w:rsidRDefault="00000000">
      <w:pPr>
        <w:spacing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FROM OBSCURITY TO LIMELIGHT</w:t>
      </w:r>
    </w:p>
    <w:p w14:paraId="0E585FEA"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contributions of Birsa Munda have sparked growing scholarly interest, even though, overall, tribal freedom fighters have often been overlooked in historical writings. Many key figures in Adivasi resistance like Tilka Majhi of the Santhal uprising (1784), Chakra </w:t>
      </w:r>
      <w:proofErr w:type="spellStart"/>
      <w:r>
        <w:rPr>
          <w:rFonts w:ascii="Times New Roman" w:eastAsia="Times New Roman" w:hAnsi="Times New Roman" w:cs="Times New Roman"/>
        </w:rPr>
        <w:t>Bisoy</w:t>
      </w:r>
      <w:proofErr w:type="spellEnd"/>
      <w:r>
        <w:rPr>
          <w:rFonts w:ascii="Times New Roman" w:eastAsia="Times New Roman" w:hAnsi="Times New Roman" w:cs="Times New Roman"/>
        </w:rPr>
        <w:t xml:space="preserve"> of the Kondh rebellion (1850), Sidhu and Kanhu of the Santhal revolt (1855–56), </w:t>
      </w:r>
      <w:proofErr w:type="spellStart"/>
      <w:r>
        <w:rPr>
          <w:rFonts w:ascii="Times New Roman" w:eastAsia="Times New Roman" w:hAnsi="Times New Roman" w:cs="Times New Roman"/>
        </w:rPr>
        <w:t>Tantia</w:t>
      </w:r>
      <w:proofErr w:type="spellEnd"/>
      <w:r>
        <w:rPr>
          <w:rFonts w:ascii="Times New Roman" w:eastAsia="Times New Roman" w:hAnsi="Times New Roman" w:cs="Times New Roman"/>
        </w:rPr>
        <w:t xml:space="preserve"> Bhil (1878–89), </w:t>
      </w:r>
      <w:proofErr w:type="spellStart"/>
      <w:r>
        <w:rPr>
          <w:rFonts w:ascii="Times New Roman" w:eastAsia="Times New Roman" w:hAnsi="Times New Roman" w:cs="Times New Roman"/>
        </w:rPr>
        <w:t>Thammandora</w:t>
      </w:r>
      <w:proofErr w:type="spellEnd"/>
      <w:r>
        <w:rPr>
          <w:rFonts w:ascii="Times New Roman" w:eastAsia="Times New Roman" w:hAnsi="Times New Roman" w:cs="Times New Roman"/>
        </w:rPr>
        <w:t xml:space="preserve"> of the Rampa rebellion (1879–80), Gunda Dhur of the Bastar rebellion, </w:t>
      </w:r>
      <w:proofErr w:type="spellStart"/>
      <w:r>
        <w:rPr>
          <w:rFonts w:ascii="Times New Roman" w:eastAsia="Times New Roman" w:hAnsi="Times New Roman" w:cs="Times New Roman"/>
        </w:rPr>
        <w:t>Jatra</w:t>
      </w:r>
      <w:proofErr w:type="spellEnd"/>
      <w:r>
        <w:rPr>
          <w:rFonts w:ascii="Times New Roman" w:eastAsia="Times New Roman" w:hAnsi="Times New Roman" w:cs="Times New Roman"/>
        </w:rPr>
        <w:t xml:space="preserve"> Oraon of the Tana Bhagat movement (1914–21), Alluri Sitarama Raju (1922), and Rani </w:t>
      </w:r>
      <w:proofErr w:type="spellStart"/>
      <w:r>
        <w:rPr>
          <w:rFonts w:ascii="Times New Roman" w:eastAsia="Times New Roman" w:hAnsi="Times New Roman" w:cs="Times New Roman"/>
        </w:rPr>
        <w:t>Gaidinliu</w:t>
      </w:r>
      <w:proofErr w:type="spellEnd"/>
      <w:r>
        <w:rPr>
          <w:rFonts w:ascii="Times New Roman" w:eastAsia="Times New Roman" w:hAnsi="Times New Roman" w:cs="Times New Roman"/>
        </w:rPr>
        <w:t xml:space="preserve"> of the Naga movement (1932) have rarely received due attention from mainstream historians. Even in major works like the Government of India's four-volume series </w:t>
      </w:r>
      <w:r>
        <w:rPr>
          <w:rFonts w:ascii="Times New Roman" w:eastAsia="Times New Roman" w:hAnsi="Times New Roman" w:cs="Times New Roman"/>
          <w:i/>
        </w:rPr>
        <w:t>History of the Freedom Movement in India</w:t>
      </w:r>
      <w:r>
        <w:rPr>
          <w:rFonts w:ascii="Times New Roman" w:eastAsia="Times New Roman" w:hAnsi="Times New Roman" w:cs="Times New Roman"/>
        </w:rPr>
        <w:t xml:space="preserve">, and the </w:t>
      </w:r>
      <w:r>
        <w:rPr>
          <w:rFonts w:ascii="Times New Roman" w:eastAsia="Times New Roman" w:hAnsi="Times New Roman" w:cs="Times New Roman"/>
          <w:i/>
        </w:rPr>
        <w:t>Towards Freedom</w:t>
      </w:r>
      <w:r>
        <w:rPr>
          <w:rFonts w:ascii="Times New Roman" w:eastAsia="Times New Roman" w:hAnsi="Times New Roman" w:cs="Times New Roman"/>
        </w:rPr>
        <w:t xml:space="preserve"> series published by the Indian Council of Historical Research, tribal fighters have been ignored.</w:t>
      </w:r>
    </w:p>
    <w:p w14:paraId="6F643ABE"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However, Birsa Munda stands out as a rare exception. After India’s independence, the Government of Bihar published a book in 1957 about the state’s role in the freedom movement, </w:t>
      </w:r>
      <w:r>
        <w:rPr>
          <w:rFonts w:ascii="Times New Roman" w:eastAsia="Times New Roman" w:hAnsi="Times New Roman" w:cs="Times New Roman"/>
        </w:rPr>
        <w:lastRenderedPageBreak/>
        <w:t>which included a short chapter on Birsa. Although this section was limited to just ten pages in a book of over six hundred, it sparked deeper academic curiosity. This eventually led to further research, including a project by the Bihar Tribal Research Institute which published a study on his life and work in 1964.</w:t>
      </w:r>
    </w:p>
    <w:p w14:paraId="732E87B4"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What is more important than the length of these early works is the direction that scholarship on Birsa began to take. Writers like Datta and Sinha attempted to position Birsa’s efforts within the broader framework of the Indian nationalist movement.</w:t>
      </w:r>
      <w:r>
        <w:rPr>
          <w:rFonts w:ascii="Times New Roman" w:eastAsia="Times New Roman" w:hAnsi="Times New Roman" w:cs="Times New Roman"/>
          <w:vertAlign w:val="superscript"/>
        </w:rPr>
        <w:footnoteReference w:id="76"/>
      </w:r>
      <w:r>
        <w:rPr>
          <w:rFonts w:ascii="Times New Roman" w:eastAsia="Times New Roman" w:hAnsi="Times New Roman" w:cs="Times New Roman"/>
        </w:rPr>
        <w:t xml:space="preserve"> Datta, for instance, argued that Birsa’s uprising reflected the same spirit of awakening seen in socio-religious reform movements sweeping India at the time. He claimed that Birsa’s struggle was a local manifestation of the broader nationalist awakening. However, this idea has been contested. Scholars argue that tribal societies in regions like </w:t>
      </w:r>
      <w:proofErr w:type="spellStart"/>
      <w:r>
        <w:rPr>
          <w:rFonts w:ascii="Times New Roman" w:eastAsia="Times New Roman" w:hAnsi="Times New Roman" w:cs="Times New Roman"/>
        </w:rPr>
        <w:t>Chhotanagpur</w:t>
      </w:r>
      <w:proofErr w:type="spellEnd"/>
      <w:r>
        <w:rPr>
          <w:rFonts w:ascii="Times New Roman" w:eastAsia="Times New Roman" w:hAnsi="Times New Roman" w:cs="Times New Roman"/>
        </w:rPr>
        <w:t xml:space="preserve"> were not really influenced by these larger religious or political reform movements. Birsa’s movement had its own unique local roots and was not a product of outside nationalistic ideas.</w:t>
      </w:r>
    </w:p>
    <w:p w14:paraId="5B18E7D2"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Still, efforts like Datta’s were important in trying to highlight the long-neglected role of tribal communities in India’s fight against colonial rule. A similar tendency can be seen in historical discussions about Adivasi roles during the 1857 rebellion and earlier uprisings. There is often an assumption that tribal communities were slow to respond to nationalist calls, supposedly because of their social and educational backwardness. It was believed they often copied or adapted ideas from more ‘advanced’ </w:t>
      </w:r>
      <w:proofErr w:type="spellStart"/>
      <w:r>
        <w:rPr>
          <w:rFonts w:ascii="Times New Roman" w:eastAsia="Times New Roman" w:hAnsi="Times New Roman" w:cs="Times New Roman"/>
        </w:rPr>
        <w:t>neighboring</w:t>
      </w:r>
      <w:proofErr w:type="spellEnd"/>
      <w:r>
        <w:rPr>
          <w:rFonts w:ascii="Times New Roman" w:eastAsia="Times New Roman" w:hAnsi="Times New Roman" w:cs="Times New Roman"/>
        </w:rPr>
        <w:t xml:space="preserve"> cultures. At the same time, however, Adivasi protests were lumped together with mainstream uprisings and labelled as anti-British even though they were treated as less developed or aware.</w:t>
      </w:r>
    </w:p>
    <w:p w14:paraId="65823EA0"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Ironically, these same historians would later argue that tribal people were emotionally reactive and only needed a spark like Gandhi’s call in the early 20th century to join the larger national freedom movement. This view paints tribal communities as both disconnected and easily mobilized, failing to appreciate the independent and deep-rooted nature of their resistance movements, such as Birsa Munda’s powerful uprising.</w:t>
      </w:r>
    </w:p>
    <w:p w14:paraId="50A96A13" w14:textId="77777777" w:rsidR="003934E1" w:rsidRDefault="00000000">
      <w:pPr>
        <w:spacing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PARADOX OF POPULARITY</w:t>
      </w:r>
    </w:p>
    <w:p w14:paraId="0E572E9A"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While Birsa Munda is widely remembered and celebrated today, many misconceptions about him persist. These misunderstandings often limit how deeply his contributions are appreciated. Some accounts wrongly reduce him to a mere tribal agitator fighting only for land rights, </w:t>
      </w:r>
      <w:r>
        <w:rPr>
          <w:rFonts w:ascii="Times New Roman" w:eastAsia="Times New Roman" w:hAnsi="Times New Roman" w:cs="Times New Roman"/>
        </w:rPr>
        <w:lastRenderedPageBreak/>
        <w:t>ignoring the fact that his movement held strong anti-colonial and even nationalist elements. Certain writers, including some from the colonial era and Christian missionary circles, painted Birsa in a negative light calling him immature, fanatical, or even comparing his actions to a reckless youth acting out of emotion rather than reason. Others portrayed him as a Hindu extremist, ignoring the reality that he led a united movement involving people from various tribal and religious backgrounds.</w:t>
      </w:r>
    </w:p>
    <w:p w14:paraId="41A3794D"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Such depictions arose because Birsa posed an unexpected challenge to the British and their missionary allies at a time when they were expanding their influence in tribal areas. Some of this bias continued even after independence, especially once the state of Jharkhand was created and Birsa's name gained political importance. Unfortunately, this led to the distortion of his true legacy. For instance, when a statue was proposed to honour Jesuit missionary J. Hoffmann who Birsa had actively opposed critics wrongly accused Birsa of being anti-Christian, even though his spiritual teachings welcomed followers from all faiths, including Christianity.</w:t>
      </w:r>
      <w:r>
        <w:rPr>
          <w:rFonts w:ascii="Times New Roman" w:eastAsia="Times New Roman" w:hAnsi="Times New Roman" w:cs="Times New Roman"/>
          <w:vertAlign w:val="superscript"/>
        </w:rPr>
        <w:footnoteReference w:id="77"/>
      </w:r>
      <w:r>
        <w:rPr>
          <w:rFonts w:ascii="Times New Roman" w:eastAsia="Times New Roman" w:hAnsi="Times New Roman" w:cs="Times New Roman"/>
        </w:rPr>
        <w:t xml:space="preserve"> This kind of selective memory erases the more inclusive and unifying nature of his message.</w:t>
      </w:r>
    </w:p>
    <w:p w14:paraId="37715105"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Even academic circles have not escaped this flawed understanding. Birsa is often described as a backward tribal leader who turned to violence because he could not handle complex challenges. Some scholars argue that his actions lacked political vision or national relevance, missing the fact that Birsa lived in a time when the idea of India as a united nation was just beginning to form. The real issue is that many researchers fail to understand the deeper political intelligence of Adivasi movements. To truly grasp Birsa Munda’s importance, scholars need to look beyond colonial records and explore tribal perspectives that genuinely reflect how Adivasi communities viewed their world and their leaders.</w:t>
      </w:r>
    </w:p>
    <w:p w14:paraId="113E02B0" w14:textId="77777777" w:rsidR="003934E1" w:rsidRDefault="00000000">
      <w:pPr>
        <w:spacing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TRIBAL STRUGGLES AMID LAND SEIZURE AND COERCED LABOUR</w:t>
      </w:r>
    </w:p>
    <w:p w14:paraId="12F9D38F"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During the 19th century, tribal communities such as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Santhals, and others living in regions like </w:t>
      </w:r>
      <w:proofErr w:type="spellStart"/>
      <w:r>
        <w:rPr>
          <w:rFonts w:ascii="Times New Roman" w:eastAsia="Times New Roman" w:hAnsi="Times New Roman" w:cs="Times New Roman"/>
        </w:rPr>
        <w:t>Chhotanagpur</w:t>
      </w:r>
      <w:proofErr w:type="spellEnd"/>
      <w:r>
        <w:rPr>
          <w:rFonts w:ascii="Times New Roman" w:eastAsia="Times New Roman" w:hAnsi="Times New Roman" w:cs="Times New Roman"/>
        </w:rPr>
        <w:t xml:space="preserve"> were deeply affected by British colonial rule. The British East India Company, eager to exploit the natural wealth of India, introduced several laws and systems that caused great harm to these Indigenous groups.</w:t>
      </w:r>
    </w:p>
    <w:p w14:paraId="1535E294"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One of the major changes was in land ownership. The British replaced the traditional community-based land system with new methods like the zamindari and ryotwari systems.</w:t>
      </w:r>
      <w:r>
        <w:rPr>
          <w:rFonts w:ascii="Times New Roman" w:eastAsia="Times New Roman" w:hAnsi="Times New Roman" w:cs="Times New Roman"/>
          <w:vertAlign w:val="superscript"/>
        </w:rPr>
        <w:footnoteReference w:id="78"/>
      </w:r>
      <w:r>
        <w:rPr>
          <w:rFonts w:ascii="Times New Roman" w:eastAsia="Times New Roman" w:hAnsi="Times New Roman" w:cs="Times New Roman"/>
        </w:rPr>
        <w:t xml:space="preserve"> These changes took away the tribal people’s ancestral lands and introduced private land ownership, forcing many of them to move away and lose their main sources of livelihood. Alongside land loss, tribal people were also forced to work under harsh conditions. The British imposed unpaid labour systems like the "beggar", where tribal men had to work on roads and plantations without proper compensation. This not only exploited them physically but also disrupted their social and cultural life.</w:t>
      </w:r>
    </w:p>
    <w:p w14:paraId="4F420222"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The push for commercial agriculture and industrial development by the colonial administration further displaced many Indigenous families. These changes made the tribal people outsiders in their own lands, cutting them off from their forests, resources, and traditional ways of living. Another major impact came from the growing presence of Christian missionaries in tribal regions. These missionaries attempted to convert tribal communities to Christianity, which often clashed with local customs and beliefs. As a result, many tribal traditions were weakened or lost, putting their cultural identity at risk.</w:t>
      </w:r>
    </w:p>
    <w:p w14:paraId="3258BF4C"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In summary, the policies and actions of British rule led to severe hardships for tribal communities in India. Through land grabbing, forced labour, industrialization, and religious conversions, the tribal way of life was irreparably damaged. These injustices eventually led to growing anger among the tribes, inspiring them to resist colonial rule. This resistance took shape in the form of the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Movement, led by Birsa Munda, who emerged as a powerful voice fighting for tribal rights and identity.</w:t>
      </w:r>
    </w:p>
    <w:p w14:paraId="11AFA47F" w14:textId="77777777" w:rsidR="003934E1" w:rsidRDefault="00000000">
      <w:pPr>
        <w:spacing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CHRISTIAN MISSIONARIES AND THE DISRUPTION OF TRADITIONAL TRIBAL LIFE</w:t>
      </w:r>
    </w:p>
    <w:p w14:paraId="1A466678"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During the 19th century, as British rule expanded across India, tribal communities in regions like </w:t>
      </w:r>
      <w:proofErr w:type="spellStart"/>
      <w:r>
        <w:rPr>
          <w:rFonts w:ascii="Times New Roman" w:eastAsia="Times New Roman" w:hAnsi="Times New Roman" w:cs="Times New Roman"/>
        </w:rPr>
        <w:t>Chhotanagpur</w:t>
      </w:r>
      <w:proofErr w:type="spellEnd"/>
      <w:r>
        <w:rPr>
          <w:rFonts w:ascii="Times New Roman" w:eastAsia="Times New Roman" w:hAnsi="Times New Roman" w:cs="Times New Roman"/>
        </w:rPr>
        <w:t xml:space="preserve"> including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Santhals, and others faced many challenges beyond just economic hardships caused by land loss and forced labour. One major issue was the increasing influence of Christian missionaries who entered tribal areas with the goal of spreading their religion and converting local populations. This interaction between missionary efforts and traditional tribal faiths led to the gradual weakening of Indigenous cultures.</w:t>
      </w:r>
    </w:p>
    <w:p w14:paraId="19D5C444"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When missionaries arrived, they often viewed tribal spiritual practices as obstacles and worked to replace them with Christian beliefs. This resulted in a slow shift where age-old tribal customs and traditions were replaced by foreign religious values a process known as cultural assimilation. One of the key tools used by missionaries was the establishment of mission schools. These schools not only provided education but also introduced tribal children to Christian teachings, often disconnecting them from their own roots. As a result, younger generations began to grow distant from their traditional way of life.</w:t>
      </w:r>
    </w:p>
    <w:p w14:paraId="38D720CC"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Missionaries also criticized tribal customs, often calling them outdated or superstitious. This discouraged tribes from continuing their traditional ceremonies and rituals. Over time, many of these practices faded away, damaging the tribes’ cultural identity. The conversion to Christianity also caused internal divisions within communities, as some individuals accepted the new faith while others remained committed to their ancestral beliefs. These differences created tension, breaking the unity that once held the tribes together.</w:t>
      </w:r>
    </w:p>
    <w:p w14:paraId="3011FF83"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Overall, the arrival of Christian missionaries during colonial times brought significant changes to the cultural life of tribal societies. The loss of traditions, rituals, and beliefs weakened their unique identity. Alongside the problems of land displacement and labour exploitation, the pressure to adopt a new religion added to their struggles. This cultural disruption further fuelled their desire to protect their heritage and eventually inspired leaders like Birsa Munda to rise in resistance.</w:t>
      </w:r>
    </w:p>
    <w:p w14:paraId="3D84106B" w14:textId="77777777" w:rsidR="003934E1" w:rsidRDefault="00000000">
      <w:pPr>
        <w:spacing w:after="16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THE TRIBAL SPIRIT – BIRSA MUNDA’S CONNECTION TO ‘DHARTI ABA’</w:t>
      </w:r>
    </w:p>
    <w:p w14:paraId="0E76ABD2"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Among the tribes of </w:t>
      </w:r>
      <w:proofErr w:type="spellStart"/>
      <w:r>
        <w:rPr>
          <w:rFonts w:ascii="Times New Roman" w:eastAsia="Times New Roman" w:hAnsi="Times New Roman" w:cs="Times New Roman"/>
        </w:rPr>
        <w:t>Chhotanagpur</w:t>
      </w:r>
      <w:proofErr w:type="spellEnd"/>
      <w:r>
        <w:rPr>
          <w:rFonts w:ascii="Times New Roman" w:eastAsia="Times New Roman" w:hAnsi="Times New Roman" w:cs="Times New Roman"/>
        </w:rPr>
        <w:t xml:space="preserve">, especially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spiritual life has always revolved around a deep bond with nature. One of the most sacred and central figures in their belief system is ‘Dharti Aba’ meaning Father Earth. For these communities, ‘Dharti Aba’ symbolizes fertility, prosperity, and unity. He is seen as the source of life and abundance, and the protector of the land they hold dear.</w:t>
      </w:r>
    </w:p>
    <w:p w14:paraId="79AA4DAF"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Researchers like Nirmal Kumar Bose have explored the importance of ‘Dharti Aba’ in understanding tribal religion and collective identity. Worshipping Father Earth is more than just a ritual it is an emotional and spiritual expression of gratitude and respect for the land. Through this worship, tribal communities develop a sense of solidarity, belonging, and responsibility towards their environment.</w:t>
      </w:r>
    </w:p>
    <w:p w14:paraId="15732DD6"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The bond with ‘Dharti Aba’ is reflected in their daily life, where every harvest, rainfall, and natural blessing is seen as a gift from him. Tribal festivals and offerings express thankfulness and celebrate the land’s generosity. This strong spiritual link helps nurture a harmonious and sustainable way of living with nature.</w:t>
      </w:r>
    </w:p>
    <w:p w14:paraId="7EB21692"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Despite repeated threats to their culture and land from outsiders trying to take over their territory to efforts at changing their way of life the belief in ‘Dharti Aba’ has remained a pillar of strength. This deep-rooted faith inspires tribes to protect their heritage and resist external pressures. Their commitment to the land and traditions is fuelled by their spiritual devotion to Father Earth.</w:t>
      </w:r>
      <w:r>
        <w:rPr>
          <w:rFonts w:ascii="Times New Roman" w:eastAsia="Times New Roman" w:hAnsi="Times New Roman" w:cs="Times New Roman"/>
          <w:vertAlign w:val="superscript"/>
        </w:rPr>
        <w:footnoteReference w:id="79"/>
      </w:r>
    </w:p>
    <w:p w14:paraId="1118E936"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‘Dharti Aba’ is not only a god but also a powerful symbol of identity, pride, and unity for the tribal people. He reminds them of their roots and continues to guide their efforts to preserve their culture and autonomy in the face of modern challenges. Their spiritual connection to the land shapes their values and gives them the strength to stand firm against any force that threatens their way of life.</w:t>
      </w:r>
    </w:p>
    <w:p w14:paraId="03B76E00" w14:textId="77777777" w:rsidR="003934E1" w:rsidRDefault="00000000">
      <w:pPr>
        <w:spacing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 ROLE OF SPIRITUAL REALISATION IN BIRSA MUNDA’S RISE AS A LEADER</w:t>
      </w:r>
    </w:p>
    <w:p w14:paraId="2F039E03"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Birsa Munda’s journey as a tribal leader and freedom fighter was deeply shaped by his spiritual awakening, which played a key role in forming his identity and leadership style. Growing up in the small village of </w:t>
      </w:r>
      <w:proofErr w:type="spellStart"/>
      <w:r>
        <w:rPr>
          <w:rFonts w:ascii="Times New Roman" w:eastAsia="Times New Roman" w:hAnsi="Times New Roman" w:cs="Times New Roman"/>
        </w:rPr>
        <w:t>Ulihatu</w:t>
      </w:r>
      <w:proofErr w:type="spellEnd"/>
      <w:r>
        <w:rPr>
          <w:rFonts w:ascii="Times New Roman" w:eastAsia="Times New Roman" w:hAnsi="Times New Roman" w:cs="Times New Roman"/>
        </w:rPr>
        <w:t>, Birsa was surrounded by the rich traditions and beliefs of the Munda tribe. From an early age, he absorbed the oral stories, rituals, and customs passed down by tribal elders, which laid the foundation for his later transformation.</w:t>
      </w:r>
    </w:p>
    <w:p w14:paraId="38D1B2C8"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As he matured, Birsa became increasingly aware of the spiritual values of his community. He developed a deep connection with ‘Dharti Aba’ the Earth Father who symbolized life, strength, and protection for the tribe. This spiritual bond inspired Birsa to take on the role of a guide and protector for his people. He saw himself as a messenger of ‘Dharti Aba,’ chosen to help his community regain its lost land, protect its cultural roots, and resist the unjust rule imposed by outsiders.</w:t>
      </w:r>
    </w:p>
    <w:p w14:paraId="5FC46664"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sense of spiritual purpose fuelled Birsa’s powerful leadership. His deep faith and clarity of vision attracted thousands to join the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Movement, a mass tribal uprising. More than </w:t>
      </w:r>
      <w:r>
        <w:rPr>
          <w:rFonts w:ascii="Times New Roman" w:eastAsia="Times New Roman" w:hAnsi="Times New Roman" w:cs="Times New Roman"/>
        </w:rPr>
        <w:lastRenderedPageBreak/>
        <w:t>just a rebellion, it became a spiritual and cultural awakening for the tribal population an effort to reclaim their identity and harmony with nature, which colonial forces were rapidly destroying.</w:t>
      </w:r>
    </w:p>
    <w:p w14:paraId="0C98EBF7"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Birsa’s leadership was marked by kindness, courage, and an unwavering dedication to his people. He stood as a symbol of strength and unity, leading by example even in the face of hardship. Despite his short life he died at just 25 Birsa left an extraordinary legacy. He not only fought against British rule but also gave his people hope, pride, and a renewed sense of purpose. His influence spread across regions that today include parts of Jharkhand, Odisha, Bihar, Madhya Pradesh, and Chhattisgarh. Revered as both a spiritual leader and a freedom fighter, Birsa Munda remains one of the most powerful icons of tribal resistance in India’s history.</w:t>
      </w:r>
    </w:p>
    <w:p w14:paraId="61A109D7" w14:textId="77777777" w:rsidR="003934E1" w:rsidRDefault="00000000">
      <w:pPr>
        <w:spacing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JOURNEY TOWARD RESOLUTION</w:t>
      </w:r>
    </w:p>
    <w:p w14:paraId="7A037643"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The tribal rebellion led by Birsa Munda eventually ended after five years due to the overpowering military strength and advanced weapons of the British forces, which the tribal fighters could not match with their traditional tools and tactics. Though Birsa was captured and the uprising was suppressed, the way he organized the movement, and the determination of the Adivasi people sent a powerful message to the British that the voices of the tribal communities could no longer be ignored.</w:t>
      </w:r>
    </w:p>
    <w:p w14:paraId="71DCDD86"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In response to the unrest caused by Birsa’s early attacks from 1895 onward, the British government took its first significant step with the Commutation Act of 1897. This law allowed courts to replace forced labour and feudal duties such as </w:t>
      </w:r>
      <w:proofErr w:type="spellStart"/>
      <w:r>
        <w:rPr>
          <w:rFonts w:ascii="Times New Roman" w:eastAsia="Times New Roman" w:hAnsi="Times New Roman" w:cs="Times New Roman"/>
        </w:rPr>
        <w:t>rukumats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aswabs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bethbegari</w:t>
      </w:r>
      <w:proofErr w:type="spellEnd"/>
      <w:r>
        <w:rPr>
          <w:rFonts w:ascii="Times New Roman" w:eastAsia="Times New Roman" w:hAnsi="Times New Roman" w:cs="Times New Roman"/>
        </w:rPr>
        <w:t>, which had become increasingly harsh and were a major source of tribal resentment with monetary payments. However, the British realized that small legal changes were not enough to resolve the deep-rooted issues. A broader solution was needed to address the ongoing land conflicts and discontent among the Adivasis.</w:t>
      </w:r>
    </w:p>
    <w:p w14:paraId="412B612E"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Recognizing this, the provincial government of Bengal, under Lieutenant Governor John Woodburn, decided to carry out a detailed investigation of land ownership in the tribal areas, especially in </w:t>
      </w:r>
      <w:proofErr w:type="spellStart"/>
      <w:r>
        <w:rPr>
          <w:rFonts w:ascii="Times New Roman" w:eastAsia="Times New Roman" w:hAnsi="Times New Roman" w:cs="Times New Roman"/>
        </w:rPr>
        <w:t>Chhotanagpur</w:t>
      </w:r>
      <w:proofErr w:type="spellEnd"/>
      <w:r>
        <w:rPr>
          <w:rFonts w:ascii="Times New Roman" w:eastAsia="Times New Roman" w:hAnsi="Times New Roman" w:cs="Times New Roman"/>
        </w:rPr>
        <w:t>. In 1901, a survey and settlement plan were launched, and by the next year, a British officer named E. Lister began working on it. The government agreed, in principle, to legally recognize the tribal land system based on traditional rights. Still, there were doubts about whether a general land settlement would be suitable for the unique tribal context.</w:t>
      </w:r>
    </w:p>
    <w:p w14:paraId="383BF329"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As a result of the early survey findings, the British amended two earlier laws the Chota Nagpur Landowner and Tenant Procedure Act of 1879 and the Commutation Act of 1897 into a new law known as Bengal Act V of 1903. This law formally acknowledged the traditional Munda </w:t>
      </w:r>
      <w:proofErr w:type="spellStart"/>
      <w:r>
        <w:rPr>
          <w:rFonts w:ascii="Times New Roman" w:eastAsia="Times New Roman" w:hAnsi="Times New Roman" w:cs="Times New Roman"/>
          <w:i/>
        </w:rPr>
        <w:t>khuntkatti</w:t>
      </w:r>
      <w:proofErr w:type="spellEnd"/>
      <w:r>
        <w:rPr>
          <w:rFonts w:ascii="Times New Roman" w:eastAsia="Times New Roman" w:hAnsi="Times New Roman" w:cs="Times New Roman"/>
        </w:rPr>
        <w:t xml:space="preserve"> landholding system, which respected ancestral tribal ownership. These legal changes laid the foundation for the landmark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 of 1908, which came after further surveys and offered stronger legal protection for tribal land rights.</w:t>
      </w:r>
    </w:p>
    <w:p w14:paraId="6EEC3060" w14:textId="77777777" w:rsidR="003934E1" w:rsidRDefault="003934E1">
      <w:pPr>
        <w:spacing w:after="160" w:line="360" w:lineRule="auto"/>
        <w:jc w:val="both"/>
        <w:rPr>
          <w:rFonts w:ascii="Times New Roman" w:eastAsia="Times New Roman" w:hAnsi="Times New Roman" w:cs="Times New Roman"/>
          <w:b/>
        </w:rPr>
      </w:pPr>
    </w:p>
    <w:p w14:paraId="7608D3D3" w14:textId="77777777" w:rsidR="003934E1" w:rsidRDefault="003934E1">
      <w:pPr>
        <w:spacing w:after="160" w:line="360" w:lineRule="auto"/>
        <w:jc w:val="both"/>
        <w:rPr>
          <w:rFonts w:ascii="Times New Roman" w:eastAsia="Times New Roman" w:hAnsi="Times New Roman" w:cs="Times New Roman"/>
          <w:b/>
        </w:rPr>
      </w:pPr>
    </w:p>
    <w:p w14:paraId="4BB336B8" w14:textId="77777777" w:rsidR="003934E1" w:rsidRDefault="00000000">
      <w:pPr>
        <w:spacing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DAWN OF A NEW AGE</w:t>
      </w:r>
    </w:p>
    <w:p w14:paraId="35470E6E"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Tenancy Act (CNTA), 1908, was hailed by Lieutenant Governor Andrew Fraser as a major protection for Adivasi land rights, portraying it as a solution to their long-standing agrarian problems. It was described as a turning point, bringing peace and stability after years of unrest. However, this view reflected a colonial mindset that underestimated ongoing Adivasi struggles. While the Act did put an end to oppressive feudal practices like forced labour and exploitative demands, it did not stop the exploitation and suffering of the Adivasi people. Soon after, many were forced to migrate to work in Assam’s tea plantations, and others joined the Tana Bhagat movement, showing that their issues were far from resolved. The British, responding to Birsa Munda’s uprising, attempted to appear more compassionate. Fraser took a personal interest in land reform efforts, and the government expanded its administrative reach by setting up new offices in areas like </w:t>
      </w:r>
      <w:proofErr w:type="spellStart"/>
      <w:r>
        <w:rPr>
          <w:rFonts w:ascii="Times New Roman" w:eastAsia="Times New Roman" w:hAnsi="Times New Roman" w:cs="Times New Roman"/>
        </w:rPr>
        <w:t>Gumla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Khunti</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Simdega</w:t>
      </w:r>
      <w:proofErr w:type="spellEnd"/>
      <w:r>
        <w:rPr>
          <w:rFonts w:ascii="Times New Roman" w:eastAsia="Times New Roman" w:hAnsi="Times New Roman" w:cs="Times New Roman"/>
        </w:rPr>
        <w:t xml:space="preserve"> to appear more responsive to Adivasi needs. However, these efforts were more about managing dissent than creating real change. Even though the CNTA gave the impression that land issues were resolved, most fertile land had already been taken by outsiders, leaving the Adivasis with little to sustain themselves. Only a small number of villages continued to operate under the traditional </w:t>
      </w:r>
      <w:proofErr w:type="spellStart"/>
      <w:r>
        <w:rPr>
          <w:rFonts w:ascii="Times New Roman" w:eastAsia="Times New Roman" w:hAnsi="Times New Roman" w:cs="Times New Roman"/>
        </w:rPr>
        <w:t>khuntkati</w:t>
      </w:r>
      <w:proofErr w:type="spellEnd"/>
      <w:r>
        <w:rPr>
          <w:rFonts w:ascii="Times New Roman" w:eastAsia="Times New Roman" w:hAnsi="Times New Roman" w:cs="Times New Roman"/>
        </w:rPr>
        <w:t xml:space="preserve"> land system. This loss led many Adivasis to abandon farming and look for new means of livelihood. Towns like Ranchi began offering jobs in administration and education, especially after it was linked to Calcutta by rail in 1907 and became a temporary provincial capital. The town grew rapidly, attracting migrants and developing a strong missionary and government presence. As competition for jobs increased, Adivasis realized the importance of education. Unfortunately, government schools served migrants, so Christian Adivasis leaned towards missionary schools, which were more welcoming. Under pressure, three Ranchi-based missionary schools were upgraded to high schools by 1908. Though there </w:t>
      </w:r>
      <w:r>
        <w:rPr>
          <w:rFonts w:ascii="Times New Roman" w:eastAsia="Times New Roman" w:hAnsi="Times New Roman" w:cs="Times New Roman"/>
        </w:rPr>
        <w:lastRenderedPageBreak/>
        <w:t xml:space="preserve">was a college in Hazaribagh, it remained out of reach for many Adivasis. Motivated by the growing value of education, both Christian and non-Christian Adivasis formed organizations like 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Oraon-Munda Siksha Sabha in 1904 to promote education through schools, hostels, and scholarships. Interestingly, this group excluded anyone associated with earlier resistance movements, reflecting a new mindset focused on progress through learning rather than rebellion. This shift was further seen in the formation of 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Unnati Samaj in 1920, where educated Adivasis came together to discuss their future, signalling a broader transformation in their social and political aspirations.</w:t>
      </w:r>
    </w:p>
    <w:p w14:paraId="020166C9" w14:textId="77777777" w:rsidR="003934E1" w:rsidRDefault="003934E1">
      <w:pPr>
        <w:spacing w:after="160" w:line="360" w:lineRule="auto"/>
        <w:jc w:val="both"/>
        <w:rPr>
          <w:rFonts w:ascii="Times New Roman" w:eastAsia="Times New Roman" w:hAnsi="Times New Roman" w:cs="Times New Roman"/>
          <w:b/>
          <w:sz w:val="28"/>
          <w:szCs w:val="28"/>
        </w:rPr>
      </w:pPr>
    </w:p>
    <w:p w14:paraId="0AD0D1D0" w14:textId="77777777" w:rsidR="003934E1" w:rsidRDefault="00000000">
      <w:pPr>
        <w:spacing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CONCLUSION</w:t>
      </w:r>
    </w:p>
    <w:p w14:paraId="080DD32A"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Birsa Munda’s spiritual awakening deeply shaped his vision of leadership and his commitment to tribal liberation. Rooted in the traditional Munda belief system, especially the reverence for ‘Dharti Aba’ (Father Earth), his spiritual connection gave him a clear sense of purpose and moral authority. This inner strength inspired him to lead his people not just in resisting colonial rule, but also in reclaiming their land, preserving their cultural identity, and reviving their self-respect. His movement was more than a political uprising it was a spiritual and cultural revival that awakened a collective sense of dignity among the Adivasis. Birsa’s unwavering faith in the sacred bond between his people and their land became the cornerstone of his leadership, leaving behind a powerful legacy that continues to inspire future generations.</w:t>
      </w:r>
    </w:p>
    <w:p w14:paraId="156A9804" w14:textId="77777777" w:rsidR="003934E1" w:rsidRDefault="003934E1">
      <w:pPr>
        <w:spacing w:after="160" w:line="360" w:lineRule="auto"/>
        <w:jc w:val="both"/>
        <w:rPr>
          <w:rFonts w:ascii="Times New Roman" w:eastAsia="Times New Roman" w:hAnsi="Times New Roman" w:cs="Times New Roman"/>
        </w:rPr>
      </w:pPr>
    </w:p>
    <w:p w14:paraId="35568AA7" w14:textId="77777777" w:rsidR="003934E1" w:rsidRDefault="003934E1">
      <w:pPr>
        <w:spacing w:after="160" w:line="360" w:lineRule="auto"/>
        <w:jc w:val="both"/>
        <w:rPr>
          <w:rFonts w:ascii="Times New Roman" w:eastAsia="Times New Roman" w:hAnsi="Times New Roman" w:cs="Times New Roman"/>
        </w:rPr>
      </w:pPr>
    </w:p>
    <w:p w14:paraId="5411FA44" w14:textId="77777777" w:rsidR="003934E1" w:rsidRDefault="003934E1">
      <w:pPr>
        <w:spacing w:after="160" w:line="276" w:lineRule="auto"/>
        <w:ind w:left="360"/>
        <w:jc w:val="both"/>
        <w:rPr>
          <w:rFonts w:ascii="Times New Roman" w:eastAsia="Times New Roman" w:hAnsi="Times New Roman" w:cs="Times New Roman"/>
          <w:sz w:val="22"/>
          <w:szCs w:val="22"/>
        </w:rPr>
      </w:pPr>
    </w:p>
    <w:p w14:paraId="50BAD520" w14:textId="77777777" w:rsidR="003934E1" w:rsidRDefault="003934E1">
      <w:pPr>
        <w:spacing w:after="160" w:line="276" w:lineRule="auto"/>
        <w:jc w:val="both"/>
        <w:rPr>
          <w:rFonts w:ascii="Times New Roman" w:eastAsia="Times New Roman" w:hAnsi="Times New Roman" w:cs="Times New Roman"/>
          <w:sz w:val="22"/>
          <w:szCs w:val="22"/>
        </w:rPr>
      </w:pPr>
    </w:p>
    <w:p w14:paraId="2A8EFEF9" w14:textId="77777777" w:rsidR="003934E1" w:rsidRDefault="003934E1">
      <w:pPr>
        <w:spacing w:after="160" w:line="276" w:lineRule="auto"/>
        <w:jc w:val="both"/>
        <w:rPr>
          <w:rFonts w:ascii="Times New Roman" w:eastAsia="Times New Roman" w:hAnsi="Times New Roman" w:cs="Times New Roman"/>
          <w:sz w:val="22"/>
          <w:szCs w:val="22"/>
        </w:rPr>
      </w:pPr>
    </w:p>
    <w:p w14:paraId="4AD861D6" w14:textId="77777777" w:rsidR="003934E1" w:rsidRDefault="003934E1">
      <w:pPr>
        <w:spacing w:after="160" w:line="276" w:lineRule="auto"/>
        <w:jc w:val="both"/>
        <w:rPr>
          <w:rFonts w:ascii="Times New Roman" w:eastAsia="Times New Roman" w:hAnsi="Times New Roman" w:cs="Times New Roman"/>
          <w:sz w:val="22"/>
          <w:szCs w:val="22"/>
        </w:rPr>
      </w:pPr>
    </w:p>
    <w:p w14:paraId="6A2E1E3D" w14:textId="77777777" w:rsidR="003934E1" w:rsidRDefault="003934E1">
      <w:pPr>
        <w:spacing w:after="160" w:line="276" w:lineRule="auto"/>
        <w:jc w:val="both"/>
        <w:rPr>
          <w:rFonts w:ascii="Times New Roman" w:eastAsia="Times New Roman" w:hAnsi="Times New Roman" w:cs="Times New Roman"/>
          <w:sz w:val="22"/>
          <w:szCs w:val="22"/>
        </w:rPr>
      </w:pPr>
    </w:p>
    <w:p w14:paraId="064AFFA7" w14:textId="77777777" w:rsidR="003934E1" w:rsidRDefault="003934E1">
      <w:pPr>
        <w:spacing w:after="160" w:line="276" w:lineRule="auto"/>
        <w:jc w:val="both"/>
        <w:rPr>
          <w:rFonts w:ascii="Times New Roman" w:eastAsia="Times New Roman" w:hAnsi="Times New Roman" w:cs="Times New Roman"/>
          <w:sz w:val="22"/>
          <w:szCs w:val="22"/>
        </w:rPr>
      </w:pPr>
    </w:p>
    <w:p w14:paraId="063E55F4" w14:textId="77777777" w:rsidR="003934E1" w:rsidRDefault="003934E1">
      <w:pPr>
        <w:spacing w:after="160" w:line="276" w:lineRule="auto"/>
        <w:jc w:val="both"/>
        <w:rPr>
          <w:rFonts w:ascii="Times New Roman" w:eastAsia="Times New Roman" w:hAnsi="Times New Roman" w:cs="Times New Roman"/>
          <w:sz w:val="22"/>
          <w:szCs w:val="22"/>
        </w:rPr>
      </w:pPr>
    </w:p>
    <w:p w14:paraId="20743288" w14:textId="77777777" w:rsidR="003934E1" w:rsidRDefault="003934E1">
      <w:pPr>
        <w:spacing w:after="160" w:line="276" w:lineRule="auto"/>
        <w:jc w:val="both"/>
        <w:rPr>
          <w:rFonts w:ascii="Times New Roman" w:eastAsia="Times New Roman" w:hAnsi="Times New Roman" w:cs="Times New Roman"/>
          <w:sz w:val="22"/>
          <w:szCs w:val="22"/>
        </w:rPr>
      </w:pPr>
    </w:p>
    <w:p w14:paraId="24C34A6C" w14:textId="77777777" w:rsidR="003934E1" w:rsidRDefault="003934E1">
      <w:pPr>
        <w:spacing w:after="160" w:line="276" w:lineRule="auto"/>
        <w:jc w:val="both"/>
        <w:rPr>
          <w:rFonts w:ascii="Times New Roman" w:eastAsia="Times New Roman" w:hAnsi="Times New Roman" w:cs="Times New Roman"/>
          <w:sz w:val="22"/>
          <w:szCs w:val="22"/>
        </w:rPr>
      </w:pPr>
    </w:p>
    <w:p w14:paraId="730AE1DB" w14:textId="77777777" w:rsidR="003934E1" w:rsidRDefault="003934E1">
      <w:pPr>
        <w:spacing w:after="160" w:line="276" w:lineRule="auto"/>
        <w:jc w:val="both"/>
        <w:rPr>
          <w:rFonts w:ascii="Times New Roman" w:eastAsia="Times New Roman" w:hAnsi="Times New Roman" w:cs="Times New Roman"/>
          <w:sz w:val="22"/>
          <w:szCs w:val="22"/>
        </w:rPr>
      </w:pPr>
    </w:p>
    <w:p w14:paraId="0387797C" w14:textId="77777777" w:rsidR="003934E1" w:rsidRDefault="00000000">
      <w:pPr>
        <w:pBdr>
          <w:top w:val="single" w:sz="4" w:space="10" w:color="0F4761"/>
          <w:bottom w:val="single" w:sz="4" w:space="10" w:color="0F4761"/>
        </w:pBdr>
        <w:spacing w:before="360" w:after="360" w:line="360" w:lineRule="auto"/>
        <w:ind w:right="-46"/>
        <w:jc w:val="center"/>
        <w:rPr>
          <w:rFonts w:ascii="Times New Roman" w:eastAsia="Times New Roman" w:hAnsi="Times New Roman" w:cs="Times New Roman"/>
          <w:b/>
          <w:sz w:val="34"/>
          <w:szCs w:val="34"/>
        </w:rPr>
      </w:pPr>
      <w:r>
        <w:rPr>
          <w:rFonts w:ascii="Times New Roman" w:eastAsia="Times New Roman" w:hAnsi="Times New Roman" w:cs="Times New Roman"/>
          <w:b/>
          <w:sz w:val="34"/>
          <w:szCs w:val="34"/>
        </w:rPr>
        <w:t>Through Aspirational Horizons: Complexities of Adivasi Youth Mobilization and Social Movements in Bastar</w:t>
      </w:r>
    </w:p>
    <w:p w14:paraId="7F4C4550" w14:textId="77777777" w:rsidR="003934E1" w:rsidRDefault="003934E1">
      <w:pPr>
        <w:spacing w:after="160" w:line="276" w:lineRule="auto"/>
        <w:rPr>
          <w:rFonts w:ascii="Times New Roman" w:eastAsia="Times New Roman" w:hAnsi="Times New Roman" w:cs="Times New Roman"/>
          <w:b/>
          <w:sz w:val="32"/>
          <w:szCs w:val="32"/>
        </w:rPr>
      </w:pPr>
    </w:p>
    <w:p w14:paraId="2C0C01E7" w14:textId="77777777" w:rsidR="003934E1" w:rsidRDefault="003934E1">
      <w:pPr>
        <w:spacing w:after="160" w:line="480" w:lineRule="auto"/>
        <w:rPr>
          <w:rFonts w:ascii="Times New Roman" w:eastAsia="Times New Roman" w:hAnsi="Times New Roman" w:cs="Times New Roman"/>
          <w:b/>
          <w:sz w:val="32"/>
          <w:szCs w:val="32"/>
        </w:rPr>
      </w:pPr>
    </w:p>
    <w:p w14:paraId="63B1CDB6" w14:textId="77777777" w:rsidR="003934E1" w:rsidRDefault="00000000">
      <w:pPr>
        <w:spacing w:after="360" w:line="360" w:lineRule="auto"/>
        <w:rPr>
          <w:rFonts w:ascii="Times New Roman" w:eastAsia="Times New Roman" w:hAnsi="Times New Roman" w:cs="Times New Roman"/>
          <w:b/>
        </w:rPr>
      </w:pPr>
      <w:r>
        <w:rPr>
          <w:rFonts w:ascii="Times New Roman" w:eastAsia="Times New Roman" w:hAnsi="Times New Roman" w:cs="Times New Roman"/>
          <w:b/>
        </w:rPr>
        <w:t xml:space="preserve">Paper submission for: </w:t>
      </w:r>
      <w:r>
        <w:rPr>
          <w:rFonts w:ascii="Times New Roman" w:eastAsia="Times New Roman" w:hAnsi="Times New Roman" w:cs="Times New Roman"/>
        </w:rPr>
        <w:t>Seminar</w:t>
      </w:r>
      <w:r>
        <w:rPr>
          <w:rFonts w:ascii="Times New Roman" w:eastAsia="Times New Roman" w:hAnsi="Times New Roman" w:cs="Times New Roman"/>
          <w:b/>
        </w:rPr>
        <w:t xml:space="preserve"> </w:t>
      </w:r>
      <w:r>
        <w:rPr>
          <w:rFonts w:ascii="Times New Roman" w:eastAsia="Times New Roman" w:hAnsi="Times New Roman" w:cs="Times New Roman"/>
        </w:rPr>
        <w:t>on</w:t>
      </w:r>
      <w:r>
        <w:rPr>
          <w:rFonts w:ascii="Times New Roman" w:eastAsia="Times New Roman" w:hAnsi="Times New Roman" w:cs="Times New Roman"/>
          <w:b/>
        </w:rPr>
        <w:t xml:space="preserve"> </w:t>
      </w:r>
      <w:r>
        <w:rPr>
          <w:rFonts w:ascii="Times New Roman" w:eastAsia="Times New Roman" w:hAnsi="Times New Roman" w:cs="Times New Roman"/>
        </w:rPr>
        <w:t>“Decolonizing Tribal Studies:</w:t>
      </w:r>
      <w:r>
        <w:rPr>
          <w:rFonts w:ascii="Times New Roman" w:eastAsia="Times New Roman" w:hAnsi="Times New Roman" w:cs="Times New Roman"/>
          <w:b/>
        </w:rPr>
        <w:t xml:space="preserve"> </w:t>
      </w:r>
      <w:r>
        <w:rPr>
          <w:rFonts w:ascii="Times New Roman" w:eastAsia="Times New Roman" w:hAnsi="Times New Roman" w:cs="Times New Roman"/>
        </w:rPr>
        <w:t>Life, Legacy and Heritage of</w:t>
      </w:r>
      <w:r>
        <w:rPr>
          <w:rFonts w:ascii="Times New Roman" w:eastAsia="Times New Roman" w:hAnsi="Times New Roman" w:cs="Times New Roman"/>
          <w:b/>
        </w:rPr>
        <w:t xml:space="preserve"> </w:t>
      </w:r>
      <w:r>
        <w:rPr>
          <w:rFonts w:ascii="Times New Roman" w:eastAsia="Times New Roman" w:hAnsi="Times New Roman" w:cs="Times New Roman"/>
        </w:rPr>
        <w:t>Birsa Munda,</w:t>
      </w:r>
      <w:r>
        <w:rPr>
          <w:rFonts w:ascii="Times New Roman" w:eastAsia="Times New Roman" w:hAnsi="Times New Roman" w:cs="Times New Roman"/>
          <w:b/>
        </w:rPr>
        <w:t xml:space="preserve"> </w:t>
      </w:r>
      <w:r>
        <w:rPr>
          <w:rFonts w:ascii="Times New Roman" w:eastAsia="Times New Roman" w:hAnsi="Times New Roman" w:cs="Times New Roman"/>
        </w:rPr>
        <w:t xml:space="preserve">1875-1900” – organized by Jesus and Mary College, University of Delhi </w:t>
      </w:r>
    </w:p>
    <w:p w14:paraId="372DB44E" w14:textId="77777777" w:rsidR="003934E1" w:rsidRDefault="00000000">
      <w:pPr>
        <w:spacing w:after="160" w:line="480" w:lineRule="auto"/>
        <w:rPr>
          <w:rFonts w:ascii="Times New Roman" w:eastAsia="Times New Roman" w:hAnsi="Times New Roman" w:cs="Times New Roman"/>
          <w:b/>
        </w:rPr>
      </w:pPr>
      <w:r>
        <w:rPr>
          <w:rFonts w:ascii="Times New Roman" w:eastAsia="Times New Roman" w:hAnsi="Times New Roman" w:cs="Times New Roman"/>
          <w:b/>
        </w:rPr>
        <w:t>By:</w:t>
      </w:r>
    </w:p>
    <w:p w14:paraId="6F6AF178" w14:textId="77777777" w:rsidR="003934E1"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b/>
        </w:rPr>
        <w:t xml:space="preserve">Author: </w:t>
      </w:r>
      <w:r>
        <w:rPr>
          <w:rFonts w:ascii="Times New Roman" w:eastAsia="Times New Roman" w:hAnsi="Times New Roman" w:cs="Times New Roman"/>
        </w:rPr>
        <w:t>Sahib Singh Tulsi</w:t>
      </w:r>
    </w:p>
    <w:p w14:paraId="74BE8054" w14:textId="77777777" w:rsidR="003934E1" w:rsidRDefault="00000000">
      <w:pPr>
        <w:spacing w:after="160" w:line="276" w:lineRule="auto"/>
        <w:rPr>
          <w:rFonts w:ascii="Times New Roman" w:eastAsia="Times New Roman" w:hAnsi="Times New Roman" w:cs="Times New Roman"/>
        </w:rPr>
      </w:pPr>
      <w:r>
        <w:rPr>
          <w:rFonts w:ascii="Times New Roman" w:eastAsia="Times New Roman" w:hAnsi="Times New Roman" w:cs="Times New Roman"/>
          <w:b/>
        </w:rPr>
        <w:t>Affiliation</w:t>
      </w:r>
      <w:r>
        <w:rPr>
          <w:rFonts w:ascii="Times New Roman" w:eastAsia="Times New Roman" w:hAnsi="Times New Roman" w:cs="Times New Roman"/>
        </w:rPr>
        <w:t xml:space="preserve">: </w:t>
      </w:r>
    </w:p>
    <w:p w14:paraId="4B4DFA65" w14:textId="77777777" w:rsidR="003934E1" w:rsidRDefault="00000000">
      <w:pPr>
        <w:spacing w:after="160"/>
        <w:rPr>
          <w:rFonts w:ascii="Times New Roman" w:eastAsia="Times New Roman" w:hAnsi="Times New Roman" w:cs="Times New Roman"/>
        </w:rPr>
      </w:pPr>
      <w:r>
        <w:rPr>
          <w:rFonts w:ascii="Times New Roman" w:eastAsia="Times New Roman" w:hAnsi="Times New Roman" w:cs="Times New Roman"/>
        </w:rPr>
        <w:t xml:space="preserve">PhD Scholar, Department of Educational Studies, </w:t>
      </w:r>
    </w:p>
    <w:p w14:paraId="098BD37B" w14:textId="77777777" w:rsidR="003934E1"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rPr>
        <w:t>The University of British Columbia, Vancouver, Canada</w:t>
      </w:r>
    </w:p>
    <w:p w14:paraId="543CC08B" w14:textId="77777777" w:rsidR="003934E1" w:rsidRDefault="00000000">
      <w:pPr>
        <w:spacing w:after="160" w:line="360" w:lineRule="auto"/>
        <w:rPr>
          <w:rFonts w:ascii="Times New Roman" w:eastAsia="Times New Roman" w:hAnsi="Times New Roman" w:cs="Times New Roman"/>
        </w:rPr>
      </w:pPr>
      <w:r>
        <w:rPr>
          <w:rFonts w:ascii="Times New Roman" w:eastAsia="Times New Roman" w:hAnsi="Times New Roman" w:cs="Times New Roman"/>
          <w:b/>
        </w:rPr>
        <w:t>Country</w:t>
      </w:r>
      <w:r>
        <w:rPr>
          <w:rFonts w:ascii="Times New Roman" w:eastAsia="Times New Roman" w:hAnsi="Times New Roman" w:cs="Times New Roman"/>
        </w:rPr>
        <w:t>: India</w:t>
      </w:r>
    </w:p>
    <w:p w14:paraId="39B36A71" w14:textId="77777777" w:rsidR="003934E1" w:rsidRDefault="00000000">
      <w:pPr>
        <w:spacing w:after="160" w:line="360" w:lineRule="auto"/>
      </w:pPr>
      <w:r>
        <w:rPr>
          <w:rFonts w:ascii="Times New Roman" w:eastAsia="Times New Roman" w:hAnsi="Times New Roman" w:cs="Times New Roman"/>
          <w:b/>
        </w:rPr>
        <w:t>Contact details</w:t>
      </w:r>
      <w:r>
        <w:rPr>
          <w:rFonts w:ascii="Times New Roman" w:eastAsia="Times New Roman" w:hAnsi="Times New Roman" w:cs="Times New Roman"/>
        </w:rPr>
        <w:t xml:space="preserve">: Mobile: 9654491872; email: </w:t>
      </w:r>
      <w:hyperlink r:id="rId57">
        <w:r w:rsidR="003934E1">
          <w:rPr>
            <w:rFonts w:ascii="Times New Roman" w:eastAsia="Times New Roman" w:hAnsi="Times New Roman" w:cs="Times New Roman"/>
            <w:color w:val="467886"/>
            <w:u w:val="single"/>
          </w:rPr>
          <w:t>sahib.tulsi@gmail.com</w:t>
        </w:r>
      </w:hyperlink>
    </w:p>
    <w:p w14:paraId="330731A4" w14:textId="77777777" w:rsidR="003934E1" w:rsidRDefault="003934E1">
      <w:pPr>
        <w:spacing w:after="160" w:line="360" w:lineRule="auto"/>
      </w:pPr>
    </w:p>
    <w:p w14:paraId="36082A15" w14:textId="77777777" w:rsidR="003934E1" w:rsidRDefault="00000000">
      <w:pPr>
        <w:spacing w:before="120" w:after="120" w:line="360" w:lineRule="auto"/>
        <w:jc w:val="center"/>
        <w:rPr>
          <w:rFonts w:ascii="Times New Roman" w:eastAsia="Times New Roman" w:hAnsi="Times New Roman" w:cs="Times New Roman"/>
        </w:rPr>
      </w:pPr>
      <w:r>
        <w:rPr>
          <w:rFonts w:ascii="Times New Roman" w:eastAsia="Times New Roman" w:hAnsi="Times New Roman" w:cs="Times New Roman"/>
          <w:b/>
          <w:sz w:val="28"/>
          <w:szCs w:val="28"/>
        </w:rPr>
        <w:t>Abstract</w:t>
      </w:r>
    </w:p>
    <w:p w14:paraId="724348BC" w14:textId="77777777" w:rsidR="003934E1" w:rsidRDefault="00000000">
      <w:pPr>
        <w:spacing w:before="160"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In this paper, I examine the connections between the individual aspirations of Adivasi youth, their relationship with their home villages and families, and the collective aspirations of the Adivasi </w:t>
      </w:r>
      <w:r>
        <w:rPr>
          <w:rFonts w:ascii="Times New Roman" w:eastAsia="Times New Roman" w:hAnsi="Times New Roman" w:cs="Times New Roman"/>
          <w:i/>
        </w:rPr>
        <w:t xml:space="preserve">samaj </w:t>
      </w:r>
      <w:r>
        <w:rPr>
          <w:rFonts w:ascii="Times New Roman" w:eastAsia="Times New Roman" w:hAnsi="Times New Roman" w:cs="Times New Roman"/>
        </w:rPr>
        <w:t xml:space="preserve">in central India. Based on my ethnographic fieldwork with Adivasi youth in Bastar, I trace the shifting terrains in which the aspirations of youth are taking shape. I utilize critical theoretical perspectives to highlight these aspirations in relation to the everyday practices of belonging and self-representation that Adivasi youth are employing to negotiate their social membership within different communities. In the process, I address the efforts of the Adivasi </w:t>
      </w:r>
      <w:r>
        <w:rPr>
          <w:rFonts w:ascii="Times New Roman" w:eastAsia="Times New Roman" w:hAnsi="Times New Roman" w:cs="Times New Roman"/>
          <w:i/>
        </w:rPr>
        <w:t xml:space="preserve">samaj </w:t>
      </w:r>
      <w:r>
        <w:rPr>
          <w:rFonts w:ascii="Times New Roman" w:eastAsia="Times New Roman" w:hAnsi="Times New Roman" w:cs="Times New Roman"/>
        </w:rPr>
        <w:t xml:space="preserve">to foster stronger feelings of inclusion among Adivasi youth in the </w:t>
      </w:r>
      <w:r>
        <w:rPr>
          <w:rFonts w:ascii="Times New Roman" w:eastAsia="Times New Roman" w:hAnsi="Times New Roman" w:cs="Times New Roman"/>
          <w:i/>
        </w:rPr>
        <w:t>samaj.</w:t>
      </w:r>
      <w:r>
        <w:rPr>
          <w:rFonts w:ascii="Times New Roman" w:eastAsia="Times New Roman" w:hAnsi="Times New Roman" w:cs="Times New Roman"/>
        </w:rPr>
        <w:t xml:space="preserve">    </w:t>
      </w:r>
    </w:p>
    <w:p w14:paraId="1A4A3DB9" w14:textId="77777777" w:rsidR="003934E1" w:rsidRDefault="00000000">
      <w:pPr>
        <w:spacing w:before="160" w:after="16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In particular, I study the social contexts and processes that are creating economic precarity in the lives of Adivasi youths aged 14 to 19, who are first-generation school goers and have moved from their home villages to urban areas to pursue education in government schools in a city in the Bastar region. Through participant observation in government schools and hostels for Adivasi students, as well as individual and group interviews with 12 Adivasi youths and focus group discussions, I explore how this precarity, stemming from structural inequalities, a lack of livelihood opportunities in villages, and limited employment prospects in Bastar, is shaping Adivasi youths’ aspirational horizons and their orientation towards the future after schooling. I analyse these horizons to shed light on the relational ties of Adivasi youth with their villages and families, which are transforming in the wake of their evolving aspirations. I elucidate the ways in which these ties are modifying the meanings of ‘home’ and a sense of place for youth. </w:t>
      </w:r>
    </w:p>
    <w:p w14:paraId="2D2EAB90" w14:textId="77777777" w:rsidR="003934E1" w:rsidRDefault="00000000">
      <w:pPr>
        <w:spacing w:before="160"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Relatedly, I draw on in-depth interviews with members of the Adivasi </w:t>
      </w:r>
      <w:r>
        <w:rPr>
          <w:rFonts w:ascii="Times New Roman" w:eastAsia="Times New Roman" w:hAnsi="Times New Roman" w:cs="Times New Roman"/>
          <w:i/>
        </w:rPr>
        <w:t>samaj</w:t>
      </w:r>
      <w:r>
        <w:rPr>
          <w:rFonts w:ascii="Times New Roman" w:eastAsia="Times New Roman" w:hAnsi="Times New Roman" w:cs="Times New Roman"/>
        </w:rPr>
        <w:t xml:space="preserve"> to focus on a pressing concern for many people in the </w:t>
      </w:r>
      <w:r>
        <w:rPr>
          <w:rFonts w:ascii="Times New Roman" w:eastAsia="Times New Roman" w:hAnsi="Times New Roman" w:cs="Times New Roman"/>
          <w:i/>
        </w:rPr>
        <w:t>samaj</w:t>
      </w:r>
      <w:r>
        <w:rPr>
          <w:rFonts w:ascii="Times New Roman" w:eastAsia="Times New Roman" w:hAnsi="Times New Roman" w:cs="Times New Roman"/>
        </w:rPr>
        <w:t xml:space="preserve">, which pertains to the lack of involvement of youth in the cultural and embodied practices that strengthen the rights movements and advocacy efforts of Adivasi communities in their negotiations with the Indian State. I contend that Adivasi youths’ aspirations in an economically precarious environment and the subsequent transformations in their filial and sociocultural identities are creating complexities for the elders within the </w:t>
      </w:r>
      <w:r>
        <w:rPr>
          <w:rFonts w:ascii="Times New Roman" w:eastAsia="Times New Roman" w:hAnsi="Times New Roman" w:cs="Times New Roman"/>
          <w:i/>
        </w:rPr>
        <w:t>samaj</w:t>
      </w:r>
      <w:r>
        <w:rPr>
          <w:rFonts w:ascii="Times New Roman" w:eastAsia="Times New Roman" w:hAnsi="Times New Roman" w:cs="Times New Roman"/>
        </w:rPr>
        <w:t xml:space="preserve"> as they strive to mobilise youth in local, place-based sociopolitical movements in Bastar. I locate the significance of these complexities within the broader context of the community-building efforts by the Adivasi </w:t>
      </w:r>
      <w:r>
        <w:rPr>
          <w:rFonts w:ascii="Times New Roman" w:eastAsia="Times New Roman" w:hAnsi="Times New Roman" w:cs="Times New Roman"/>
          <w:i/>
        </w:rPr>
        <w:t>samaj</w:t>
      </w:r>
      <w:r>
        <w:rPr>
          <w:rFonts w:ascii="Times New Roman" w:eastAsia="Times New Roman" w:hAnsi="Times New Roman" w:cs="Times New Roman"/>
        </w:rPr>
        <w:t>.</w:t>
      </w:r>
    </w:p>
    <w:p w14:paraId="7278867B" w14:textId="77777777" w:rsidR="003934E1" w:rsidRDefault="00000000">
      <w:pPr>
        <w:spacing w:before="160"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paper has implications for Adivasi Studies and Tribal Studies. It builds upon the work surrounding the social and cultural production of aspirations among Adivasi youth to provide an analytical lens for understanding how they are situating themselves within the efforts of the Adivasi </w:t>
      </w:r>
      <w:r>
        <w:rPr>
          <w:rFonts w:ascii="Times New Roman" w:eastAsia="Times New Roman" w:hAnsi="Times New Roman" w:cs="Times New Roman"/>
          <w:i/>
        </w:rPr>
        <w:t>samaj</w:t>
      </w:r>
      <w:r>
        <w:rPr>
          <w:rFonts w:ascii="Times New Roman" w:eastAsia="Times New Roman" w:hAnsi="Times New Roman" w:cs="Times New Roman"/>
        </w:rPr>
        <w:t xml:space="preserve"> to shape communities. Furthermore, these aspirations offer insights into the issues central to Adivasi youth mobilization and the grassroots work associated with social movements led by Adivasi communities in central India.  </w:t>
      </w:r>
    </w:p>
    <w:p w14:paraId="14CC0E5A" w14:textId="77777777" w:rsidR="003934E1" w:rsidRDefault="003934E1">
      <w:pPr>
        <w:spacing w:after="160" w:line="278" w:lineRule="auto"/>
        <w:rPr>
          <w:rFonts w:ascii="Times New Roman" w:eastAsia="Times New Roman" w:hAnsi="Times New Roman" w:cs="Times New Roman"/>
        </w:rPr>
      </w:pPr>
    </w:p>
    <w:p w14:paraId="734F5B4C" w14:textId="77777777" w:rsidR="003934E1" w:rsidRDefault="00000000">
      <w:pPr>
        <w:spacing w:after="160" w:line="278" w:lineRule="auto"/>
        <w:rPr>
          <w:rFonts w:ascii="Times New Roman" w:eastAsia="Times New Roman" w:hAnsi="Times New Roman" w:cs="Times New Roman"/>
        </w:rPr>
      </w:pPr>
      <w:r>
        <w:rPr>
          <w:rFonts w:ascii="Times New Roman" w:eastAsia="Times New Roman" w:hAnsi="Times New Roman" w:cs="Times New Roman"/>
          <w:b/>
        </w:rPr>
        <w:t>Key Words</w:t>
      </w:r>
      <w:r>
        <w:rPr>
          <w:rFonts w:ascii="Times New Roman" w:eastAsia="Times New Roman" w:hAnsi="Times New Roman" w:cs="Times New Roman"/>
        </w:rPr>
        <w:t xml:space="preserve">: Adivasi youth, aspirations, social movements </w:t>
      </w:r>
    </w:p>
    <w:p w14:paraId="466E7330" w14:textId="77777777" w:rsidR="003934E1" w:rsidRDefault="003934E1">
      <w:pPr>
        <w:spacing w:before="240" w:after="240" w:line="360" w:lineRule="auto"/>
        <w:jc w:val="center"/>
        <w:rPr>
          <w:rFonts w:ascii="Times New Roman" w:eastAsia="Times New Roman" w:hAnsi="Times New Roman" w:cs="Times New Roman"/>
          <w:b/>
          <w:sz w:val="32"/>
          <w:szCs w:val="32"/>
        </w:rPr>
      </w:pPr>
    </w:p>
    <w:p w14:paraId="1645C697" w14:textId="77777777" w:rsidR="003934E1" w:rsidRDefault="003934E1">
      <w:pPr>
        <w:spacing w:before="240" w:after="240" w:line="360" w:lineRule="auto"/>
        <w:jc w:val="center"/>
        <w:rPr>
          <w:rFonts w:ascii="Times New Roman" w:eastAsia="Times New Roman" w:hAnsi="Times New Roman" w:cs="Times New Roman"/>
          <w:b/>
          <w:sz w:val="32"/>
          <w:szCs w:val="32"/>
        </w:rPr>
      </w:pPr>
    </w:p>
    <w:p w14:paraId="0DE053A5" w14:textId="77777777" w:rsidR="003934E1" w:rsidRDefault="003934E1">
      <w:pPr>
        <w:spacing w:before="240" w:after="240" w:line="360" w:lineRule="auto"/>
        <w:jc w:val="center"/>
        <w:rPr>
          <w:rFonts w:ascii="Times New Roman" w:eastAsia="Times New Roman" w:hAnsi="Times New Roman" w:cs="Times New Roman"/>
          <w:b/>
          <w:sz w:val="32"/>
          <w:szCs w:val="32"/>
        </w:rPr>
      </w:pPr>
    </w:p>
    <w:p w14:paraId="71F58AAC" w14:textId="77777777" w:rsidR="003934E1" w:rsidRDefault="003934E1">
      <w:pPr>
        <w:spacing w:before="240" w:after="240" w:line="360" w:lineRule="auto"/>
        <w:jc w:val="center"/>
        <w:rPr>
          <w:rFonts w:ascii="Times New Roman" w:eastAsia="Times New Roman" w:hAnsi="Times New Roman" w:cs="Times New Roman"/>
          <w:b/>
          <w:sz w:val="32"/>
          <w:szCs w:val="32"/>
        </w:rPr>
      </w:pPr>
    </w:p>
    <w:p w14:paraId="73D5EF5A" w14:textId="77777777" w:rsidR="003934E1" w:rsidRDefault="003934E1">
      <w:pPr>
        <w:spacing w:before="240" w:after="240" w:line="360" w:lineRule="auto"/>
        <w:jc w:val="center"/>
        <w:rPr>
          <w:rFonts w:ascii="Times New Roman" w:eastAsia="Times New Roman" w:hAnsi="Times New Roman" w:cs="Times New Roman"/>
          <w:b/>
          <w:sz w:val="32"/>
          <w:szCs w:val="32"/>
        </w:rPr>
      </w:pPr>
    </w:p>
    <w:p w14:paraId="714C4E19" w14:textId="77777777" w:rsidR="003934E1" w:rsidRDefault="003934E1">
      <w:pPr>
        <w:spacing w:before="240" w:after="240" w:line="360" w:lineRule="auto"/>
        <w:jc w:val="center"/>
        <w:rPr>
          <w:rFonts w:ascii="Times New Roman" w:eastAsia="Times New Roman" w:hAnsi="Times New Roman" w:cs="Times New Roman"/>
          <w:b/>
          <w:sz w:val="32"/>
          <w:szCs w:val="32"/>
        </w:rPr>
      </w:pPr>
    </w:p>
    <w:p w14:paraId="175CFF68" w14:textId="77777777" w:rsidR="003934E1" w:rsidRDefault="003934E1">
      <w:pPr>
        <w:spacing w:before="240" w:after="240" w:line="360" w:lineRule="auto"/>
        <w:rPr>
          <w:rFonts w:ascii="Times New Roman" w:eastAsia="Times New Roman" w:hAnsi="Times New Roman" w:cs="Times New Roman"/>
          <w:b/>
          <w:sz w:val="32"/>
          <w:szCs w:val="32"/>
        </w:rPr>
      </w:pPr>
    </w:p>
    <w:p w14:paraId="65BF0907" w14:textId="77777777" w:rsidR="003934E1" w:rsidRDefault="003934E1">
      <w:pPr>
        <w:spacing w:before="240" w:after="240" w:line="360" w:lineRule="auto"/>
        <w:jc w:val="center"/>
        <w:rPr>
          <w:rFonts w:ascii="Times New Roman" w:eastAsia="Times New Roman" w:hAnsi="Times New Roman" w:cs="Times New Roman"/>
          <w:b/>
          <w:sz w:val="32"/>
          <w:szCs w:val="32"/>
        </w:rPr>
      </w:pPr>
    </w:p>
    <w:p w14:paraId="6CCA3FFC" w14:textId="77777777" w:rsidR="003934E1" w:rsidRDefault="003934E1">
      <w:pPr>
        <w:spacing w:before="240" w:after="240" w:line="360" w:lineRule="auto"/>
        <w:jc w:val="center"/>
        <w:rPr>
          <w:rFonts w:ascii="Times New Roman" w:eastAsia="Times New Roman" w:hAnsi="Times New Roman" w:cs="Times New Roman"/>
          <w:b/>
          <w:sz w:val="32"/>
          <w:szCs w:val="32"/>
        </w:rPr>
      </w:pPr>
    </w:p>
    <w:p w14:paraId="26059CB6" w14:textId="77777777" w:rsidR="003934E1" w:rsidRDefault="003934E1">
      <w:pPr>
        <w:spacing w:before="240" w:after="240" w:line="360" w:lineRule="auto"/>
        <w:rPr>
          <w:rFonts w:ascii="Times New Roman" w:eastAsia="Times New Roman" w:hAnsi="Times New Roman" w:cs="Times New Roman"/>
          <w:b/>
          <w:sz w:val="32"/>
          <w:szCs w:val="32"/>
        </w:rPr>
      </w:pPr>
    </w:p>
    <w:p w14:paraId="4059B6D4" w14:textId="77777777" w:rsidR="003934E1" w:rsidRDefault="003934E1">
      <w:pPr>
        <w:spacing w:before="240" w:after="240" w:line="360" w:lineRule="auto"/>
        <w:rPr>
          <w:rFonts w:ascii="Times New Roman" w:eastAsia="Times New Roman" w:hAnsi="Times New Roman" w:cs="Times New Roman"/>
          <w:b/>
          <w:sz w:val="32"/>
          <w:szCs w:val="32"/>
        </w:rPr>
      </w:pPr>
    </w:p>
    <w:p w14:paraId="4CC7AC25" w14:textId="77777777" w:rsidR="003934E1" w:rsidRDefault="003934E1">
      <w:pPr>
        <w:spacing w:before="240" w:after="240" w:line="360" w:lineRule="auto"/>
        <w:rPr>
          <w:rFonts w:ascii="Times New Roman" w:eastAsia="Times New Roman" w:hAnsi="Times New Roman" w:cs="Times New Roman"/>
          <w:b/>
          <w:sz w:val="32"/>
          <w:szCs w:val="32"/>
        </w:rPr>
      </w:pPr>
    </w:p>
    <w:p w14:paraId="2323EC12" w14:textId="77777777" w:rsidR="003934E1" w:rsidRDefault="003934E1">
      <w:pPr>
        <w:spacing w:before="240" w:after="240" w:line="360" w:lineRule="auto"/>
        <w:rPr>
          <w:rFonts w:ascii="Times New Roman" w:eastAsia="Times New Roman" w:hAnsi="Times New Roman" w:cs="Times New Roman"/>
          <w:b/>
          <w:sz w:val="32"/>
          <w:szCs w:val="32"/>
        </w:rPr>
      </w:pPr>
    </w:p>
    <w:p w14:paraId="34244635" w14:textId="77777777" w:rsidR="003934E1" w:rsidRDefault="003934E1">
      <w:pPr>
        <w:spacing w:before="240" w:after="240" w:line="360" w:lineRule="auto"/>
        <w:rPr>
          <w:rFonts w:ascii="Times New Roman" w:eastAsia="Times New Roman" w:hAnsi="Times New Roman" w:cs="Times New Roman"/>
          <w:b/>
          <w:sz w:val="32"/>
          <w:szCs w:val="32"/>
        </w:rPr>
      </w:pPr>
    </w:p>
    <w:p w14:paraId="6EA626A8" w14:textId="77777777" w:rsidR="003934E1" w:rsidRDefault="003934E1">
      <w:pPr>
        <w:spacing w:before="240" w:after="240" w:line="360" w:lineRule="auto"/>
        <w:rPr>
          <w:rFonts w:ascii="Times New Roman" w:eastAsia="Times New Roman" w:hAnsi="Times New Roman" w:cs="Times New Roman"/>
          <w:b/>
          <w:sz w:val="32"/>
          <w:szCs w:val="32"/>
        </w:rPr>
      </w:pPr>
    </w:p>
    <w:p w14:paraId="7725FF34" w14:textId="77777777" w:rsidR="003934E1" w:rsidRDefault="00000000">
      <w:pPr>
        <w:spacing w:before="240" w:after="24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Introduction</w:t>
      </w:r>
    </w:p>
    <w:p w14:paraId="07BC579E" w14:textId="77777777" w:rsidR="003934E1" w:rsidRDefault="00000000">
      <w:pPr>
        <w:spacing w:before="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I feel scared when I think about my future due to financial constraints. There may come a time when I won't be able to work anywhere, as I will be preparing for some competitive exams. I wonder whether I will receive financial support then. I suppose I will find some work … I try to suppress these heavy feelings. </w:t>
      </w:r>
    </w:p>
    <w:p w14:paraId="5F7A0743" w14:textId="77777777" w:rsidR="003934E1" w:rsidRDefault="00000000">
      <w:pPr>
        <w:spacing w:after="240" w:line="360" w:lineRule="auto"/>
        <w:ind w:left="6481"/>
        <w:jc w:val="both"/>
        <w:rPr>
          <w:rFonts w:ascii="Times New Roman" w:eastAsia="Times New Roman" w:hAnsi="Times New Roman" w:cs="Times New Roman"/>
        </w:rPr>
      </w:pPr>
      <w:r>
        <w:rPr>
          <w:rFonts w:ascii="Times New Roman" w:eastAsia="Times New Roman" w:hAnsi="Times New Roman" w:cs="Times New Roman"/>
        </w:rPr>
        <w:t>(Bunty, an Adivasi youth)</w:t>
      </w:r>
    </w:p>
    <w:p w14:paraId="67757E63" w14:textId="77777777" w:rsidR="003934E1" w:rsidRDefault="00000000">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As a 16-year-old Adivasi youth studying in grade 12 at a government school in the Bastar region, Bunty’s feelings reflect the financial insecurities faced by many school-going Adivasi youths in Bastar as they strive to cultivate their identities by envisioning the contours of their aspirational lives. In this paper, I explore these aspirational lives and examine how they are shaping Adivasi youths’ relationships with their home villages and families, and with the collective aspirations of the Adivasis.  </w:t>
      </w:r>
    </w:p>
    <w:p w14:paraId="217E8F22" w14:textId="77777777" w:rsidR="003934E1" w:rsidRDefault="00000000">
      <w:pPr>
        <w:spacing w:before="120" w:after="12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In 2023, I conducted ethnographic fieldwork for my PhD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a semi-urban city located in the Bastar region of Chhattisgarh.</w:t>
      </w:r>
      <w:r>
        <w:rPr>
          <w:rFonts w:ascii="Times New Roman" w:eastAsia="Times New Roman" w:hAnsi="Times New Roman" w:cs="Times New Roman"/>
          <w:vertAlign w:val="superscript"/>
        </w:rPr>
        <w:footnoteReference w:id="80"/>
      </w:r>
      <w:r>
        <w:rPr>
          <w:rFonts w:ascii="Times New Roman" w:eastAsia="Times New Roman" w:hAnsi="Times New Roman" w:cs="Times New Roman"/>
        </w:rPr>
        <w:t xml:space="preserve"> Over the course of 11 months, I had the privilege of working with an Adivasi community, whom I will refer to as the ‘</w:t>
      </w:r>
      <w:proofErr w:type="spellStart"/>
      <w:r>
        <w:rPr>
          <w:rFonts w:ascii="Times New Roman" w:eastAsia="Times New Roman" w:hAnsi="Times New Roman" w:cs="Times New Roman"/>
        </w:rPr>
        <w:t>Bhurvas</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Bhurvas</w:t>
      </w:r>
      <w:proofErr w:type="spellEnd"/>
      <w:r>
        <w:rPr>
          <w:rFonts w:ascii="Times New Roman" w:eastAsia="Times New Roman" w:hAnsi="Times New Roman" w:cs="Times New Roman"/>
        </w:rPr>
        <w:t xml:space="preserve"> are one of several Adivasi communities residing in Bastar. They are a subgroup of the Gondi peoples, settling in plain and forested areas. A major proportion of the </w:t>
      </w:r>
      <w:proofErr w:type="spellStart"/>
      <w:r>
        <w:rPr>
          <w:rFonts w:ascii="Times New Roman" w:eastAsia="Times New Roman" w:hAnsi="Times New Roman" w:cs="Times New Roman"/>
        </w:rPr>
        <w:t>Bhurvas</w:t>
      </w:r>
      <w:proofErr w:type="spellEnd"/>
      <w:r>
        <w:rPr>
          <w:rFonts w:ascii="Times New Roman" w:eastAsia="Times New Roman" w:hAnsi="Times New Roman" w:cs="Times New Roman"/>
        </w:rPr>
        <w:t xml:space="preserve"> live in rural areas and depend on agriculture and forest-based livelihoods. Among the Adivasi communities, the </w:t>
      </w:r>
      <w:proofErr w:type="spellStart"/>
      <w:r>
        <w:rPr>
          <w:rFonts w:ascii="Times New Roman" w:eastAsia="Times New Roman" w:hAnsi="Times New Roman" w:cs="Times New Roman"/>
        </w:rPr>
        <w:t>Bhurvas</w:t>
      </w:r>
      <w:proofErr w:type="spellEnd"/>
      <w:r>
        <w:rPr>
          <w:rFonts w:ascii="Times New Roman" w:eastAsia="Times New Roman" w:hAnsi="Times New Roman" w:cs="Times New Roman"/>
        </w:rPr>
        <w:t xml:space="preserve"> are one of the most economically vulnerable communities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Two significant factors explain this vulnerability. First, they have not benefited as much from their entitlements through reservations as other Adivasi communities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such as the Gonds or </w:t>
      </w:r>
      <w:proofErr w:type="spellStart"/>
      <w:r>
        <w:rPr>
          <w:rFonts w:ascii="Times New Roman" w:eastAsia="Times New Roman" w:hAnsi="Times New Roman" w:cs="Times New Roman"/>
        </w:rPr>
        <w:t>Halbas</w:t>
      </w:r>
      <w:proofErr w:type="spellEnd"/>
      <w:r>
        <w:rPr>
          <w:rFonts w:ascii="Times New Roman" w:eastAsia="Times New Roman" w:hAnsi="Times New Roman" w:cs="Times New Roman"/>
        </w:rPr>
        <w:t xml:space="preserve">. Second, until a decade ago, several rural regions of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were affected by violence related to </w:t>
      </w:r>
      <w:proofErr w:type="spellStart"/>
      <w:r>
        <w:rPr>
          <w:rFonts w:ascii="Times New Roman" w:eastAsia="Times New Roman" w:hAnsi="Times New Roman" w:cs="Times New Roman"/>
        </w:rPr>
        <w:t>Naxalism</w:t>
      </w:r>
      <w:proofErr w:type="spellEnd"/>
      <w:r>
        <w:rPr>
          <w:rFonts w:ascii="Times New Roman" w:eastAsia="Times New Roman" w:hAnsi="Times New Roman" w:cs="Times New Roman"/>
        </w:rPr>
        <w:t>, which refers to a left-wing-inspired armed conflict between the guerrilla armies of the Naxalite movement and the Indian State (Bhardwaj, 2020; Sundar, 2016; Wadhwa, 2021).</w:t>
      </w:r>
      <w:r>
        <w:rPr>
          <w:rFonts w:ascii="Times New Roman" w:eastAsia="Times New Roman" w:hAnsi="Times New Roman" w:cs="Times New Roman"/>
          <w:vertAlign w:val="superscript"/>
        </w:rPr>
        <w:footnoteReference w:id="81"/>
      </w:r>
      <w:r>
        <w:rPr>
          <w:rFonts w:ascii="Times New Roman" w:eastAsia="Times New Roman" w:hAnsi="Times New Roman" w:cs="Times New Roman"/>
        </w:rPr>
        <w:t xml:space="preserve"> While conditions have improved in the areas surrounding the city, there are intermittent tensions between the State and Naxals in the interior villages, affecting the economic lives of the people.</w:t>
      </w:r>
    </w:p>
    <w:p w14:paraId="0F45C5CD" w14:textId="77777777" w:rsidR="003934E1" w:rsidRDefault="00000000">
      <w:pPr>
        <w:spacing w:before="120" w:after="12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I worked with 12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comprising six girls and six boys, aged between 14 and 19, most of whom are first-generation school goers in the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community.</w:t>
      </w:r>
      <w:r>
        <w:rPr>
          <w:rFonts w:ascii="Times New Roman" w:eastAsia="Times New Roman" w:hAnsi="Times New Roman" w:cs="Times New Roman"/>
          <w:vertAlign w:val="superscript"/>
        </w:rPr>
        <w:footnoteReference w:id="82"/>
      </w:r>
      <w:r>
        <w:rPr>
          <w:rFonts w:ascii="Times New Roman" w:eastAsia="Times New Roman" w:hAnsi="Times New Roman" w:cs="Times New Roman"/>
        </w:rPr>
        <w:t xml:space="preserve"> They have </w:t>
      </w:r>
      <w:r>
        <w:rPr>
          <w:rFonts w:ascii="Times New Roman" w:eastAsia="Times New Roman" w:hAnsi="Times New Roman" w:cs="Times New Roman"/>
        </w:rPr>
        <w:lastRenderedPageBreak/>
        <w:t xml:space="preserve">moved from their home villages to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to pursue government schooling. In this critical ethnography, I am striving to understand their perspectives on the changes in their self-identities since moving to urban spaces and beginning to live in hostels for Adivasi students. Furthermore, I am examining how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identify and navigate their sense of belonging in these spaces, and how these identifications influence their understandings of social institutions, such as government schools and hostels, community, and family. Based on participant observation in two government schools and two hostels, individual and group interviews, and focus group discussions, I am studying how they are choosing to narrate the stories of their lives in our interactions. One way I am undertaking this task is by engaging with their aspirations. I use ‘aspiration’ to refer to “an orientation towards a desired future” (</w:t>
      </w:r>
      <w:proofErr w:type="spellStart"/>
      <w:r>
        <w:rPr>
          <w:rFonts w:ascii="Times New Roman" w:eastAsia="Times New Roman" w:hAnsi="Times New Roman" w:cs="Times New Roman"/>
        </w:rPr>
        <w:t>Huijsmans</w:t>
      </w:r>
      <w:proofErr w:type="spellEnd"/>
      <w:r>
        <w:rPr>
          <w:rFonts w:ascii="Times New Roman" w:eastAsia="Times New Roman" w:hAnsi="Times New Roman" w:cs="Times New Roman"/>
        </w:rPr>
        <w:t xml:space="preserve">, Ansell, &amp; Froerer, 2020, p. 3). </w:t>
      </w:r>
    </w:p>
    <w:p w14:paraId="02C1F0AA" w14:textId="77777777" w:rsidR="003934E1" w:rsidRDefault="00000000">
      <w:pPr>
        <w:spacing w:after="16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For Adivasi youth, education as a site of aspirations is often about social mobility and their relationships with places and peoplehood (Carrin, 2015; Froerer, 2015; Froerer &amp; Dost, 2021). Building on this basic idea and drawing from critical theoretical perspectives, I argue that, in the current moment, Adivasi youths’ aspirational horizons in an economically precarious environment, along with the subsequent transformations in their relational ties with their home villages and families, are creating complexities for the elders within the Adivasi </w:t>
      </w:r>
      <w:r>
        <w:rPr>
          <w:rFonts w:ascii="Times New Roman" w:eastAsia="Times New Roman" w:hAnsi="Times New Roman" w:cs="Times New Roman"/>
          <w:i/>
        </w:rPr>
        <w:t>samaj</w:t>
      </w:r>
      <w:r>
        <w:rPr>
          <w:rFonts w:ascii="Times New Roman" w:eastAsia="Times New Roman" w:hAnsi="Times New Roman" w:cs="Times New Roman"/>
        </w:rPr>
        <w:t xml:space="preserve"> as they endeavour to mobilise youth in local, place-based sociopolitical movements in Bastar. I locate the significance of these changing relationships and complexities within the broader context of the community-building efforts by the </w:t>
      </w:r>
      <w:r>
        <w:rPr>
          <w:rFonts w:ascii="Times New Roman" w:eastAsia="Times New Roman" w:hAnsi="Times New Roman" w:cs="Times New Roman"/>
          <w:i/>
        </w:rPr>
        <w:t>samaj</w:t>
      </w:r>
      <w:r>
        <w:rPr>
          <w:rFonts w:ascii="Times New Roman" w:eastAsia="Times New Roman" w:hAnsi="Times New Roman" w:cs="Times New Roman"/>
        </w:rPr>
        <w:t xml:space="preserve">. My argument is based on fieldwork with the </w:t>
      </w:r>
      <w:proofErr w:type="spellStart"/>
      <w:r>
        <w:rPr>
          <w:rFonts w:ascii="Times New Roman" w:eastAsia="Times New Roman" w:hAnsi="Times New Roman" w:cs="Times New Roman"/>
        </w:rPr>
        <w:t>Bhurvas</w:t>
      </w:r>
      <w:proofErr w:type="spellEnd"/>
      <w:r>
        <w:rPr>
          <w:rFonts w:ascii="Times New Roman" w:eastAsia="Times New Roman" w:hAnsi="Times New Roman" w:cs="Times New Roman"/>
        </w:rPr>
        <w:t xml:space="preserve">, as an upper-middle-class, non-Adivasi Sikh man from New Delhi, and as a researcher affiliated with a Western university. </w:t>
      </w:r>
    </w:p>
    <w:p w14:paraId="653A5D28" w14:textId="77777777" w:rsidR="003934E1" w:rsidRDefault="00000000">
      <w:pPr>
        <w:spacing w:before="120" w:after="24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This paper is organized into three sections. In Section One, I trace the aspirational horizons of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and elucidate the economic contexts that are shaping these horizons. In Section Two, I examine the changes in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familial and sociocultural identities as they attempt to fathom how these aspirational horizons are influencing the relational dynamics in their lives. In the final section, I explore these changing modalities in youth’s lives in relation to the local, place-based sociopolitical movements led by Adivasi </w:t>
      </w:r>
      <w:r>
        <w:rPr>
          <w:rFonts w:ascii="Times New Roman" w:eastAsia="Times New Roman" w:hAnsi="Times New Roman" w:cs="Times New Roman"/>
          <w:i/>
        </w:rPr>
        <w:t>samaj</w:t>
      </w:r>
      <w:r>
        <w:rPr>
          <w:rFonts w:ascii="Times New Roman" w:eastAsia="Times New Roman" w:hAnsi="Times New Roman" w:cs="Times New Roman"/>
        </w:rPr>
        <w:t xml:space="preserve"> in </w:t>
      </w:r>
      <w:proofErr w:type="spellStart"/>
      <w:r>
        <w:rPr>
          <w:rFonts w:ascii="Times New Roman" w:eastAsia="Times New Roman" w:hAnsi="Times New Roman" w:cs="Times New Roman"/>
        </w:rPr>
        <w:lastRenderedPageBreak/>
        <w:t>Baliyapal</w:t>
      </w:r>
      <w:proofErr w:type="spellEnd"/>
      <w:r>
        <w:rPr>
          <w:rFonts w:ascii="Times New Roman" w:eastAsia="Times New Roman" w:hAnsi="Times New Roman" w:cs="Times New Roman"/>
        </w:rPr>
        <w:t xml:space="preserve">. I conclude by highlighting the central argument of this paper and the need to explore the associated issues in future research with Adivasi youth.   </w:t>
      </w:r>
    </w:p>
    <w:tbl>
      <w:tblPr>
        <w:tblStyle w:val="a2"/>
        <w:tblW w:w="77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6"/>
        <w:gridCol w:w="2126"/>
        <w:gridCol w:w="3119"/>
      </w:tblGrid>
      <w:tr w:rsidR="003934E1" w14:paraId="5DCDB5BF" w14:textId="77777777">
        <w:trPr>
          <w:jc w:val="center"/>
        </w:trPr>
        <w:tc>
          <w:tcPr>
            <w:tcW w:w="2547" w:type="dxa"/>
          </w:tcPr>
          <w:p w14:paraId="0B14B89B" w14:textId="77777777" w:rsidR="003934E1"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Name</w:t>
            </w:r>
          </w:p>
        </w:tc>
        <w:tc>
          <w:tcPr>
            <w:tcW w:w="2126" w:type="dxa"/>
          </w:tcPr>
          <w:p w14:paraId="34FABA19" w14:textId="77777777" w:rsidR="003934E1"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Age</w:t>
            </w:r>
          </w:p>
        </w:tc>
        <w:tc>
          <w:tcPr>
            <w:tcW w:w="3119" w:type="dxa"/>
          </w:tcPr>
          <w:p w14:paraId="11C215DF" w14:textId="77777777" w:rsidR="003934E1"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Gender</w:t>
            </w:r>
          </w:p>
        </w:tc>
      </w:tr>
      <w:tr w:rsidR="003934E1" w14:paraId="05CB90C8" w14:textId="77777777">
        <w:trPr>
          <w:jc w:val="center"/>
        </w:trPr>
        <w:tc>
          <w:tcPr>
            <w:tcW w:w="2547" w:type="dxa"/>
          </w:tcPr>
          <w:p w14:paraId="37C240E5"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Anand</w:t>
            </w:r>
          </w:p>
        </w:tc>
        <w:tc>
          <w:tcPr>
            <w:tcW w:w="2126" w:type="dxa"/>
          </w:tcPr>
          <w:p w14:paraId="3240693C"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3119" w:type="dxa"/>
          </w:tcPr>
          <w:p w14:paraId="6C11E6AE"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Boy</w:t>
            </w:r>
          </w:p>
        </w:tc>
      </w:tr>
      <w:tr w:rsidR="003934E1" w14:paraId="5F964885" w14:textId="77777777">
        <w:trPr>
          <w:jc w:val="center"/>
        </w:trPr>
        <w:tc>
          <w:tcPr>
            <w:tcW w:w="2547" w:type="dxa"/>
          </w:tcPr>
          <w:p w14:paraId="6D7E0DF6"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Ayush</w:t>
            </w:r>
          </w:p>
        </w:tc>
        <w:tc>
          <w:tcPr>
            <w:tcW w:w="2126" w:type="dxa"/>
          </w:tcPr>
          <w:p w14:paraId="17EA973F"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3119" w:type="dxa"/>
          </w:tcPr>
          <w:p w14:paraId="1DB90F8D"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Boy</w:t>
            </w:r>
          </w:p>
        </w:tc>
      </w:tr>
      <w:tr w:rsidR="003934E1" w14:paraId="01A71DE6" w14:textId="77777777">
        <w:trPr>
          <w:jc w:val="center"/>
        </w:trPr>
        <w:tc>
          <w:tcPr>
            <w:tcW w:w="2547" w:type="dxa"/>
          </w:tcPr>
          <w:p w14:paraId="23690E47"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Bunty</w:t>
            </w:r>
          </w:p>
        </w:tc>
        <w:tc>
          <w:tcPr>
            <w:tcW w:w="2126" w:type="dxa"/>
          </w:tcPr>
          <w:p w14:paraId="10558C38"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3119" w:type="dxa"/>
          </w:tcPr>
          <w:p w14:paraId="3CF0EC54"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Boy</w:t>
            </w:r>
          </w:p>
        </w:tc>
      </w:tr>
      <w:tr w:rsidR="003934E1" w14:paraId="7FFEE8F4" w14:textId="77777777">
        <w:trPr>
          <w:jc w:val="center"/>
        </w:trPr>
        <w:tc>
          <w:tcPr>
            <w:tcW w:w="2547" w:type="dxa"/>
          </w:tcPr>
          <w:p w14:paraId="0332A9B2"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Ishika</w:t>
            </w:r>
          </w:p>
        </w:tc>
        <w:tc>
          <w:tcPr>
            <w:tcW w:w="2126" w:type="dxa"/>
          </w:tcPr>
          <w:p w14:paraId="49A4BA6D"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3119" w:type="dxa"/>
          </w:tcPr>
          <w:p w14:paraId="4F90C5BE"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Girl</w:t>
            </w:r>
          </w:p>
        </w:tc>
      </w:tr>
      <w:tr w:rsidR="003934E1" w14:paraId="11F65617" w14:textId="77777777">
        <w:trPr>
          <w:jc w:val="center"/>
        </w:trPr>
        <w:tc>
          <w:tcPr>
            <w:tcW w:w="2547" w:type="dxa"/>
          </w:tcPr>
          <w:p w14:paraId="713BDE29"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Ishwar</w:t>
            </w:r>
          </w:p>
        </w:tc>
        <w:tc>
          <w:tcPr>
            <w:tcW w:w="2126" w:type="dxa"/>
          </w:tcPr>
          <w:p w14:paraId="20C6BEF6"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17</w:t>
            </w:r>
          </w:p>
        </w:tc>
        <w:tc>
          <w:tcPr>
            <w:tcW w:w="3119" w:type="dxa"/>
          </w:tcPr>
          <w:p w14:paraId="0398A4C9"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Boy</w:t>
            </w:r>
          </w:p>
        </w:tc>
      </w:tr>
      <w:tr w:rsidR="003934E1" w14:paraId="3982D7A6" w14:textId="77777777">
        <w:trPr>
          <w:jc w:val="center"/>
        </w:trPr>
        <w:tc>
          <w:tcPr>
            <w:tcW w:w="2547" w:type="dxa"/>
          </w:tcPr>
          <w:p w14:paraId="32516422"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Mukta</w:t>
            </w:r>
          </w:p>
        </w:tc>
        <w:tc>
          <w:tcPr>
            <w:tcW w:w="2126" w:type="dxa"/>
          </w:tcPr>
          <w:p w14:paraId="777B3388"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19</w:t>
            </w:r>
          </w:p>
        </w:tc>
        <w:tc>
          <w:tcPr>
            <w:tcW w:w="3119" w:type="dxa"/>
          </w:tcPr>
          <w:p w14:paraId="4C74D7AD"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Girl</w:t>
            </w:r>
          </w:p>
        </w:tc>
      </w:tr>
      <w:tr w:rsidR="003934E1" w14:paraId="52CE83CF" w14:textId="77777777">
        <w:trPr>
          <w:jc w:val="center"/>
        </w:trPr>
        <w:tc>
          <w:tcPr>
            <w:tcW w:w="2547" w:type="dxa"/>
          </w:tcPr>
          <w:p w14:paraId="6B97BFF0"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Neeru</w:t>
            </w:r>
          </w:p>
        </w:tc>
        <w:tc>
          <w:tcPr>
            <w:tcW w:w="2126" w:type="dxa"/>
          </w:tcPr>
          <w:p w14:paraId="37AB42B7"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3119" w:type="dxa"/>
          </w:tcPr>
          <w:p w14:paraId="402B28F1"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Girl</w:t>
            </w:r>
          </w:p>
        </w:tc>
      </w:tr>
      <w:tr w:rsidR="003934E1" w14:paraId="55BD2E1C" w14:textId="77777777">
        <w:trPr>
          <w:jc w:val="center"/>
        </w:trPr>
        <w:tc>
          <w:tcPr>
            <w:tcW w:w="2547" w:type="dxa"/>
          </w:tcPr>
          <w:p w14:paraId="57A3895E"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Pihu</w:t>
            </w:r>
          </w:p>
        </w:tc>
        <w:tc>
          <w:tcPr>
            <w:tcW w:w="2126" w:type="dxa"/>
          </w:tcPr>
          <w:p w14:paraId="37D9CDF0"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16</w:t>
            </w:r>
          </w:p>
        </w:tc>
        <w:tc>
          <w:tcPr>
            <w:tcW w:w="3119" w:type="dxa"/>
          </w:tcPr>
          <w:p w14:paraId="39BE5484"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Girl</w:t>
            </w:r>
          </w:p>
        </w:tc>
      </w:tr>
      <w:tr w:rsidR="003934E1" w14:paraId="40923863" w14:textId="77777777">
        <w:trPr>
          <w:jc w:val="center"/>
        </w:trPr>
        <w:tc>
          <w:tcPr>
            <w:tcW w:w="2547" w:type="dxa"/>
          </w:tcPr>
          <w:p w14:paraId="559EC010"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Puneet</w:t>
            </w:r>
          </w:p>
        </w:tc>
        <w:tc>
          <w:tcPr>
            <w:tcW w:w="2126" w:type="dxa"/>
          </w:tcPr>
          <w:p w14:paraId="463B0220"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3119" w:type="dxa"/>
          </w:tcPr>
          <w:p w14:paraId="60CD5712"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Boy</w:t>
            </w:r>
          </w:p>
        </w:tc>
      </w:tr>
      <w:tr w:rsidR="003934E1" w14:paraId="3ABD74BA" w14:textId="77777777">
        <w:trPr>
          <w:jc w:val="center"/>
        </w:trPr>
        <w:tc>
          <w:tcPr>
            <w:tcW w:w="2547" w:type="dxa"/>
          </w:tcPr>
          <w:p w14:paraId="448A088E"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Ruchika</w:t>
            </w:r>
          </w:p>
        </w:tc>
        <w:tc>
          <w:tcPr>
            <w:tcW w:w="2126" w:type="dxa"/>
          </w:tcPr>
          <w:p w14:paraId="7E76FA36"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3119" w:type="dxa"/>
          </w:tcPr>
          <w:p w14:paraId="3569E686"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Girl</w:t>
            </w:r>
          </w:p>
        </w:tc>
      </w:tr>
      <w:tr w:rsidR="003934E1" w14:paraId="6BE8FBE7" w14:textId="77777777">
        <w:trPr>
          <w:jc w:val="center"/>
        </w:trPr>
        <w:tc>
          <w:tcPr>
            <w:tcW w:w="2547" w:type="dxa"/>
          </w:tcPr>
          <w:p w14:paraId="1133D971"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Smriti</w:t>
            </w:r>
          </w:p>
        </w:tc>
        <w:tc>
          <w:tcPr>
            <w:tcW w:w="2126" w:type="dxa"/>
          </w:tcPr>
          <w:p w14:paraId="0D297DAD"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14</w:t>
            </w:r>
          </w:p>
        </w:tc>
        <w:tc>
          <w:tcPr>
            <w:tcW w:w="3119" w:type="dxa"/>
          </w:tcPr>
          <w:p w14:paraId="0BC6FD1D"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Girl</w:t>
            </w:r>
          </w:p>
        </w:tc>
      </w:tr>
      <w:tr w:rsidR="003934E1" w14:paraId="3FC5F118" w14:textId="77777777">
        <w:trPr>
          <w:jc w:val="center"/>
        </w:trPr>
        <w:tc>
          <w:tcPr>
            <w:tcW w:w="2547" w:type="dxa"/>
          </w:tcPr>
          <w:p w14:paraId="6414B9DD"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Sudeep</w:t>
            </w:r>
          </w:p>
        </w:tc>
        <w:tc>
          <w:tcPr>
            <w:tcW w:w="2126" w:type="dxa"/>
          </w:tcPr>
          <w:p w14:paraId="0A2B312D"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15</w:t>
            </w:r>
          </w:p>
        </w:tc>
        <w:tc>
          <w:tcPr>
            <w:tcW w:w="3119" w:type="dxa"/>
          </w:tcPr>
          <w:p w14:paraId="360A2F50" w14:textId="77777777" w:rsidR="003934E1"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Boy</w:t>
            </w:r>
          </w:p>
        </w:tc>
      </w:tr>
    </w:tbl>
    <w:p w14:paraId="27BF082D" w14:textId="77777777" w:rsidR="003934E1" w:rsidRDefault="00000000">
      <w:pPr>
        <w:spacing w:before="120" w:after="24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w:t>
      </w:r>
      <w:proofErr w:type="spellStart"/>
      <w:r>
        <w:rPr>
          <w:rFonts w:ascii="Times New Roman" w:eastAsia="Times New Roman" w:hAnsi="Times New Roman" w:cs="Times New Roman"/>
          <w:sz w:val="20"/>
          <w:szCs w:val="20"/>
        </w:rPr>
        <w:t>Bhurva</w:t>
      </w:r>
      <w:proofErr w:type="spellEnd"/>
      <w:r>
        <w:rPr>
          <w:rFonts w:ascii="Times New Roman" w:eastAsia="Times New Roman" w:hAnsi="Times New Roman" w:cs="Times New Roman"/>
          <w:sz w:val="20"/>
          <w:szCs w:val="20"/>
        </w:rPr>
        <w:t xml:space="preserve"> youths who participated in this research and made it possible. </w:t>
      </w:r>
    </w:p>
    <w:p w14:paraId="66A973BF" w14:textId="77777777" w:rsidR="003934E1" w:rsidRDefault="00000000">
      <w:pPr>
        <w:spacing w:before="240" w:after="24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w:t>
      </w:r>
    </w:p>
    <w:p w14:paraId="0DCA5895" w14:textId="77777777" w:rsidR="003934E1" w:rsidRDefault="00000000">
      <w:pPr>
        <w:spacing w:before="240" w:after="240" w:line="360" w:lineRule="auto"/>
        <w:ind w:left="72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Learning to aspire amidst economic uncertainties</w:t>
      </w:r>
    </w:p>
    <w:p w14:paraId="26B4F8B7" w14:textId="77777777" w:rsidR="003934E1" w:rsidRDefault="00000000">
      <w:pPr>
        <w:spacing w:before="240"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In this section, I focus on the occupational aspirational horizons of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which they hope will provide their lives with a sense of direction after schooling. As their interests evolve over the next few years and the circumstances of their lives unfold in myriad ways amidst the varied contexts of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(and Bastar), these horizons will also adapt, responding to the fickleness produced by the structural forces in their lives. For now, they offer us a glimpse into the fascinating imaginative lives of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which define the particularities of their modes of being and becoming. To better understand these horizons, I extend the work of Roy </w:t>
      </w:r>
      <w:proofErr w:type="spellStart"/>
      <w:r>
        <w:rPr>
          <w:rFonts w:ascii="Times New Roman" w:eastAsia="Times New Roman" w:hAnsi="Times New Roman" w:cs="Times New Roman"/>
        </w:rPr>
        <w:t>Huijsmans</w:t>
      </w:r>
      <w:proofErr w:type="spellEnd"/>
      <w:r>
        <w:rPr>
          <w:rFonts w:ascii="Times New Roman" w:eastAsia="Times New Roman" w:hAnsi="Times New Roman" w:cs="Times New Roman"/>
        </w:rPr>
        <w:t xml:space="preserve">, Nicola Ansell, and Peggy Froerer (2020) on aspirations, who advocate for “conceptualising aspirations as socially produced, recognising how its production is always situated in particular histories and places, politico-economic presents and mediated by cross-cutting relations including, but not limited to, class, gender, and generation” (p. 12). In this paper, I focus primarily on “politico-economic presents” to illustrate how economic </w:t>
      </w:r>
      <w:r>
        <w:rPr>
          <w:rFonts w:ascii="Times New Roman" w:eastAsia="Times New Roman" w:hAnsi="Times New Roman" w:cs="Times New Roman"/>
        </w:rPr>
        <w:lastRenderedPageBreak/>
        <w:t xml:space="preserve">uncertainties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are experienced by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as they cultivate the skills to negotiate the moments with references to futurity. These moments are abundant in their social lives in the hostels and schools.  </w:t>
      </w:r>
    </w:p>
    <w:p w14:paraId="07B63AE2" w14:textId="77777777" w:rsidR="003934E1" w:rsidRDefault="00000000">
      <w:pPr>
        <w:spacing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Tracing the aspirational horizons </w:t>
      </w:r>
    </w:p>
    <w:p w14:paraId="74FD9EA1" w14:textId="77777777" w:rsidR="003934E1" w:rsidRDefault="00000000">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Some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participants expressed interest in enrolling at the local government college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after finishing their schooling. Other major options that Adivasi youths generally pursue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after school, which some participants also mentioned, include vocational courses at Industrial Training Institutes (ITIs), studying nursing (a cherished profession for many young women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and computer training. These options are increasing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but if there is one dominant thread that ties the discourses of aspirations among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it is their longing to secure a government job, irrespective of gender.</w:t>
      </w:r>
      <w:r>
        <w:rPr>
          <w:rFonts w:ascii="Times New Roman" w:eastAsia="Times New Roman" w:hAnsi="Times New Roman" w:cs="Times New Roman"/>
          <w:vertAlign w:val="superscript"/>
        </w:rPr>
        <w:footnoteReference w:id="83"/>
      </w:r>
      <w:r>
        <w:rPr>
          <w:rFonts w:ascii="Times New Roman" w:eastAsia="Times New Roman" w:hAnsi="Times New Roman" w:cs="Times New Roman"/>
        </w:rPr>
        <w:t xml:space="preserve"> Among these aspirational jobs, one stands out particularly, as these excerpts from interviews with participants highlight:  </w:t>
      </w:r>
    </w:p>
    <w:p w14:paraId="40BB7EF9" w14:textId="77777777" w:rsidR="003934E1" w:rsidRDefault="00000000">
      <w:pPr>
        <w:spacing w:before="120" w:after="120" w:line="360" w:lineRule="auto"/>
        <w:ind w:left="567" w:right="-46"/>
        <w:jc w:val="both"/>
        <w:rPr>
          <w:rFonts w:ascii="Times New Roman" w:eastAsia="Times New Roman" w:hAnsi="Times New Roman" w:cs="Times New Roman"/>
        </w:rPr>
      </w:pPr>
      <w:r>
        <w:rPr>
          <w:rFonts w:ascii="Times New Roman" w:eastAsia="Times New Roman" w:hAnsi="Times New Roman" w:cs="Times New Roman"/>
        </w:rPr>
        <w:t>I want to join the army. I don’t know what or how to study for it. We have to fill out a form. I want to join the army to serve my country. I can join the police too, but … I joined the NCC (National Cadet Corps) because I wanted to serve in the army.</w:t>
      </w:r>
      <w:r>
        <w:rPr>
          <w:rFonts w:ascii="Times New Roman" w:eastAsia="Times New Roman" w:hAnsi="Times New Roman" w:cs="Times New Roman"/>
          <w:vertAlign w:val="superscript"/>
        </w:rPr>
        <w:footnoteReference w:id="84"/>
      </w:r>
      <w:r>
        <w:rPr>
          <w:rFonts w:ascii="Times New Roman" w:eastAsia="Times New Roman" w:hAnsi="Times New Roman" w:cs="Times New Roman"/>
        </w:rPr>
        <w:t xml:space="preserve"> (Pihu) </w:t>
      </w:r>
    </w:p>
    <w:p w14:paraId="7402F34A" w14:textId="77777777" w:rsidR="003934E1" w:rsidRDefault="00000000">
      <w:pPr>
        <w:spacing w:before="120" w:after="120" w:line="360" w:lineRule="auto"/>
        <w:ind w:left="567" w:right="-46"/>
        <w:jc w:val="both"/>
        <w:rPr>
          <w:rFonts w:ascii="Times New Roman" w:eastAsia="Times New Roman" w:hAnsi="Times New Roman" w:cs="Times New Roman"/>
        </w:rPr>
      </w:pPr>
      <w:r>
        <w:rPr>
          <w:rFonts w:ascii="Times New Roman" w:eastAsia="Times New Roman" w:hAnsi="Times New Roman" w:cs="Times New Roman"/>
        </w:rPr>
        <w:t xml:space="preserve">I want to be a soldier, to protect my country … In my village, there is someone in the STF (Special Task Force). There are a couple of others in the nearby village, one in the CRPF (Central Reserve Police Force) and the other in the Indian Army. I want to be like them. (Ayush) </w:t>
      </w:r>
    </w:p>
    <w:p w14:paraId="303C601C" w14:textId="77777777" w:rsidR="003934E1" w:rsidRDefault="00000000">
      <w:pPr>
        <w:spacing w:before="120" w:after="120" w:line="360" w:lineRule="auto"/>
        <w:ind w:left="567" w:right="-46"/>
        <w:jc w:val="both"/>
        <w:rPr>
          <w:rFonts w:ascii="Times New Roman" w:eastAsia="Times New Roman" w:hAnsi="Times New Roman" w:cs="Times New Roman"/>
        </w:rPr>
      </w:pPr>
      <w:r>
        <w:rPr>
          <w:rFonts w:ascii="Times New Roman" w:eastAsia="Times New Roman" w:hAnsi="Times New Roman" w:cs="Times New Roman"/>
        </w:rPr>
        <w:t xml:space="preserve">I want to become a soldier. I think I will join the Indian Army through sports. It is a childhood dream of mine … I joined the NCC and NSS (National Service Scheme) upon </w:t>
      </w:r>
      <w:r>
        <w:rPr>
          <w:rFonts w:ascii="Times New Roman" w:eastAsia="Times New Roman" w:hAnsi="Times New Roman" w:cs="Times New Roman"/>
        </w:rPr>
        <w:lastRenderedPageBreak/>
        <w:t>learning that it would help in becoming a soldier, through disciplined training and extra marks later.</w:t>
      </w:r>
      <w:r>
        <w:rPr>
          <w:rFonts w:ascii="Times New Roman" w:eastAsia="Times New Roman" w:hAnsi="Times New Roman" w:cs="Times New Roman"/>
          <w:vertAlign w:val="superscript"/>
        </w:rPr>
        <w:footnoteReference w:id="85"/>
      </w:r>
      <w:r>
        <w:rPr>
          <w:rFonts w:ascii="Times New Roman" w:eastAsia="Times New Roman" w:hAnsi="Times New Roman" w:cs="Times New Roman"/>
        </w:rPr>
        <w:t xml:space="preserve"> (Bunty) </w:t>
      </w:r>
    </w:p>
    <w:p w14:paraId="173FE02D" w14:textId="77777777" w:rsidR="003934E1" w:rsidRDefault="00000000">
      <w:pPr>
        <w:spacing w:before="120" w:after="120" w:line="360" w:lineRule="auto"/>
        <w:ind w:left="567" w:right="-46"/>
        <w:jc w:val="both"/>
        <w:rPr>
          <w:rFonts w:ascii="Times New Roman" w:eastAsia="Times New Roman" w:hAnsi="Times New Roman" w:cs="Times New Roman"/>
        </w:rPr>
      </w:pPr>
      <w:r>
        <w:rPr>
          <w:rFonts w:ascii="Times New Roman" w:eastAsia="Times New Roman" w:hAnsi="Times New Roman" w:cs="Times New Roman"/>
        </w:rPr>
        <w:t xml:space="preserve">I could not join NCC, but I still participated in events on Independence and Republic days … I want to join the army. (Smriti) </w:t>
      </w:r>
    </w:p>
    <w:p w14:paraId="0887D533" w14:textId="77777777" w:rsidR="003934E1" w:rsidRDefault="00000000">
      <w:pPr>
        <w:spacing w:before="120" w:after="120" w:line="360" w:lineRule="auto"/>
        <w:ind w:left="567" w:right="-46"/>
        <w:jc w:val="both"/>
        <w:rPr>
          <w:rFonts w:ascii="Times New Roman" w:eastAsia="Times New Roman" w:hAnsi="Times New Roman" w:cs="Times New Roman"/>
        </w:rPr>
      </w:pPr>
      <w:r>
        <w:rPr>
          <w:rFonts w:ascii="Times New Roman" w:eastAsia="Times New Roman" w:hAnsi="Times New Roman" w:cs="Times New Roman"/>
        </w:rPr>
        <w:t xml:space="preserve">It is my dream to join the CRPF or the police. Sports also help in this. (Ishwar) </w:t>
      </w:r>
    </w:p>
    <w:p w14:paraId="5E0AB781" w14:textId="77777777" w:rsidR="003934E1" w:rsidRDefault="00000000">
      <w:pPr>
        <w:spacing w:before="120" w:after="120" w:line="360" w:lineRule="auto"/>
        <w:ind w:firstLine="567"/>
        <w:jc w:val="both"/>
        <w:rPr>
          <w:rFonts w:ascii="Times New Roman" w:eastAsia="Times New Roman" w:hAnsi="Times New Roman" w:cs="Times New Roman"/>
          <w:sz w:val="22"/>
          <w:szCs w:val="22"/>
        </w:rPr>
      </w:pPr>
      <w:r>
        <w:rPr>
          <w:rFonts w:ascii="Times New Roman" w:eastAsia="Times New Roman" w:hAnsi="Times New Roman" w:cs="Times New Roman"/>
        </w:rPr>
        <w:t xml:space="preserve">The longing to join the security personnel of the Indian State, in one form or another, is injecting hope into the lives of many school-going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in contemporary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For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becoming part of paramilitary forces like the CRPF, state forces like the STF, specialised forces like the Bastar Fighters, or the state police seems like a possibility that can be envisaged.</w:t>
      </w:r>
      <w:r>
        <w:rPr>
          <w:rFonts w:ascii="Times New Roman" w:eastAsia="Times New Roman" w:hAnsi="Times New Roman" w:cs="Times New Roman"/>
          <w:vertAlign w:val="superscript"/>
        </w:rPr>
        <w:footnoteReference w:id="86"/>
      </w:r>
      <w:r>
        <w:rPr>
          <w:rFonts w:ascii="Times New Roman" w:eastAsia="Times New Roman" w:hAnsi="Times New Roman" w:cs="Times New Roman"/>
        </w:rPr>
        <w:t xml:space="preserve"> The dream of a government job extends beyond paramilitary or state police forces, particularly for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girls. During the focus group discussions, I prompted the participants to write or draw anything in response to the question: “Where do you see yourself when you are 25?” Ruchika wrote in big letters, “IAS,” expressing her wish to become a bureaucrat by clearing the Civil Services Exam and joining the Indian Administrative Services (IAS). As the photo below shows, she added: “Even if I don’t succeed, then there should be more talk about my failure than my success.” Neeru and Mukta expressed their desire to become teachers in government schools.</w:t>
      </w:r>
    </w:p>
    <w:p w14:paraId="5C2EAF9F" w14:textId="77777777" w:rsidR="003934E1" w:rsidRDefault="00000000">
      <w:pPr>
        <w:ind w:left="-142"/>
        <w:jc w:val="both"/>
        <w:rPr>
          <w:rFonts w:ascii="Times New Roman" w:eastAsia="Times New Roman" w:hAnsi="Times New Roman" w:cs="Times New Roman"/>
          <w:sz w:val="22"/>
          <w:szCs w:val="22"/>
        </w:rPr>
      </w:pPr>
      <w:r>
        <w:rPr>
          <w:rFonts w:ascii="Times New Roman" w:eastAsia="Times New Roman" w:hAnsi="Times New Roman" w:cs="Times New Roman"/>
          <w:noProof/>
          <w:sz w:val="22"/>
          <w:szCs w:val="22"/>
        </w:rPr>
        <w:lastRenderedPageBreak/>
        <w:drawing>
          <wp:inline distT="0" distB="0" distL="0" distR="0" wp14:anchorId="561497E6" wp14:editId="6F143B60">
            <wp:extent cx="5731200" cy="3860800"/>
            <wp:effectExtent l="0" t="0" r="0" b="0"/>
            <wp:docPr id="1811818201" name="image3.jpg" descr="A piece of paper with writing on i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ece of paper with writing on it&#10;&#10;Description automatically generated"/>
                    <pic:cNvPicPr preferRelativeResize="0"/>
                  </pic:nvPicPr>
                  <pic:blipFill>
                    <a:blip r:embed="rId58"/>
                    <a:srcRect/>
                    <a:stretch>
                      <a:fillRect/>
                    </a:stretch>
                  </pic:blipFill>
                  <pic:spPr>
                    <a:xfrm>
                      <a:off x="0" y="0"/>
                      <a:ext cx="5731200" cy="3860800"/>
                    </a:xfrm>
                    <a:prstGeom prst="rect">
                      <a:avLst/>
                    </a:prstGeom>
                    <a:ln/>
                  </pic:spPr>
                </pic:pic>
              </a:graphicData>
            </a:graphic>
          </wp:inline>
        </w:drawing>
      </w:r>
    </w:p>
    <w:p w14:paraId="061445D9" w14:textId="77777777" w:rsidR="003934E1" w:rsidRDefault="00000000">
      <w:pPr>
        <w:spacing w:after="160" w:line="48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Ruchika’s aspirational imaginings: Wanting to become an IAS officer.</w:t>
      </w:r>
    </w:p>
    <w:p w14:paraId="52C85C90" w14:textId="77777777" w:rsidR="003934E1" w:rsidRDefault="00000000">
      <w:pPr>
        <w:ind w:left="-142"/>
        <w:jc w:val="both"/>
        <w:rPr>
          <w:rFonts w:ascii="Times New Roman" w:eastAsia="Times New Roman" w:hAnsi="Times New Roman" w:cs="Times New Roman"/>
          <w:sz w:val="20"/>
          <w:szCs w:val="20"/>
        </w:rPr>
      </w:pPr>
      <w:r>
        <w:rPr>
          <w:rFonts w:ascii="Times New Roman" w:eastAsia="Times New Roman" w:hAnsi="Times New Roman" w:cs="Times New Roman"/>
          <w:noProof/>
          <w:sz w:val="22"/>
          <w:szCs w:val="22"/>
        </w:rPr>
        <w:drawing>
          <wp:inline distT="0" distB="0" distL="0" distR="0" wp14:anchorId="7636D67F" wp14:editId="30CFB34F">
            <wp:extent cx="5731200" cy="3441700"/>
            <wp:effectExtent l="0" t="0" r="0" b="0"/>
            <wp:docPr id="1811818202" name="image5.jpg" descr="A drawing on a piece of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jpg" descr="A drawing on a piece of paper&#10;&#10;Description automatically generated"/>
                    <pic:cNvPicPr preferRelativeResize="0"/>
                  </pic:nvPicPr>
                  <pic:blipFill>
                    <a:blip r:embed="rId59"/>
                    <a:srcRect/>
                    <a:stretch>
                      <a:fillRect/>
                    </a:stretch>
                  </pic:blipFill>
                  <pic:spPr>
                    <a:xfrm>
                      <a:off x="0" y="0"/>
                      <a:ext cx="5731200" cy="3441700"/>
                    </a:xfrm>
                    <a:prstGeom prst="rect">
                      <a:avLst/>
                    </a:prstGeom>
                    <a:ln/>
                  </pic:spPr>
                </pic:pic>
              </a:graphicData>
            </a:graphic>
          </wp:inline>
        </w:drawing>
      </w:r>
      <w:r>
        <w:rPr>
          <w:rFonts w:ascii="Times New Roman" w:eastAsia="Times New Roman" w:hAnsi="Times New Roman" w:cs="Times New Roman"/>
          <w:sz w:val="20"/>
          <w:szCs w:val="20"/>
        </w:rPr>
        <w:t xml:space="preserve"> </w:t>
      </w:r>
    </w:p>
    <w:p w14:paraId="6B93EC22" w14:textId="77777777" w:rsidR="003934E1" w:rsidRDefault="00000000">
      <w:pPr>
        <w:spacing w:after="160" w:line="480" w:lineRule="auto"/>
        <w:jc w:val="both"/>
        <w:rPr>
          <w:rFonts w:ascii="Times New Roman" w:eastAsia="Times New Roman" w:hAnsi="Times New Roman" w:cs="Times New Roman"/>
          <w:sz w:val="22"/>
          <w:szCs w:val="22"/>
        </w:rPr>
      </w:pPr>
      <w:r>
        <w:rPr>
          <w:rFonts w:ascii="Times New Roman" w:eastAsia="Times New Roman" w:hAnsi="Times New Roman" w:cs="Times New Roman"/>
          <w:sz w:val="20"/>
          <w:szCs w:val="20"/>
        </w:rPr>
        <w:t xml:space="preserve">Neeru: “I want to be a government school teacher.” </w:t>
      </w:r>
    </w:p>
    <w:p w14:paraId="24D6BCCE" w14:textId="77777777" w:rsidR="003934E1" w:rsidRDefault="00000000">
      <w:pPr>
        <w:ind w:left="-142"/>
        <w:jc w:val="both"/>
        <w:rPr>
          <w:rFonts w:ascii="Times New Roman" w:eastAsia="Times New Roman" w:hAnsi="Times New Roman" w:cs="Times New Roman"/>
          <w:b/>
          <w:highlight w:val="lightGray"/>
        </w:rPr>
      </w:pPr>
      <w:r>
        <w:rPr>
          <w:rFonts w:ascii="Times New Roman" w:eastAsia="Times New Roman" w:hAnsi="Times New Roman" w:cs="Times New Roman"/>
          <w:b/>
          <w:noProof/>
        </w:rPr>
        <w:lastRenderedPageBreak/>
        <w:drawing>
          <wp:inline distT="0" distB="0" distL="0" distR="0" wp14:anchorId="2B1EAA34" wp14:editId="527451D3">
            <wp:extent cx="5731200" cy="3835400"/>
            <wp:effectExtent l="0" t="0" r="0" b="0"/>
            <wp:docPr id="1811818199" name="image7.jpg" descr="A drawing on a piece of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drawing on a piece of paper&#10;&#10;Description automatically generated"/>
                    <pic:cNvPicPr preferRelativeResize="0"/>
                  </pic:nvPicPr>
                  <pic:blipFill>
                    <a:blip r:embed="rId60"/>
                    <a:srcRect/>
                    <a:stretch>
                      <a:fillRect/>
                    </a:stretch>
                  </pic:blipFill>
                  <pic:spPr>
                    <a:xfrm>
                      <a:off x="0" y="0"/>
                      <a:ext cx="5731200" cy="3835400"/>
                    </a:xfrm>
                    <a:prstGeom prst="rect">
                      <a:avLst/>
                    </a:prstGeom>
                    <a:ln/>
                  </pic:spPr>
                </pic:pic>
              </a:graphicData>
            </a:graphic>
          </wp:inline>
        </w:drawing>
      </w:r>
    </w:p>
    <w:p w14:paraId="5D15E641" w14:textId="77777777" w:rsidR="003934E1" w:rsidRDefault="00000000">
      <w:pPr>
        <w:tabs>
          <w:tab w:val="left" w:pos="7311"/>
        </w:tabs>
        <w:spacing w:before="120" w:after="16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Mukta: Aspiring to become a Physical Education teacher at a school near her village. </w:t>
      </w:r>
      <w:r>
        <w:rPr>
          <w:rFonts w:ascii="Times New Roman" w:eastAsia="Times New Roman" w:hAnsi="Times New Roman" w:cs="Times New Roman"/>
          <w:sz w:val="20"/>
          <w:szCs w:val="20"/>
        </w:rPr>
        <w:tab/>
      </w:r>
    </w:p>
    <w:p w14:paraId="2C2F2707" w14:textId="77777777" w:rsidR="003934E1" w:rsidRDefault="00000000">
      <w:pPr>
        <w:spacing w:before="160"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Shaping aspirational horizons: Economic contexts </w:t>
      </w:r>
    </w:p>
    <w:p w14:paraId="27F90219" w14:textId="77777777" w:rsidR="003934E1" w:rsidRDefault="00000000">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When contextualizing the aspirations of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for government jobs or vocational training, we must analyse their aspirational horizons in light of the economic and sociopolitical contexts of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which shape their lived experiences (Mathew &amp; Lukose, 2020; </w:t>
      </w:r>
      <w:proofErr w:type="spellStart"/>
      <w:r>
        <w:rPr>
          <w:rFonts w:ascii="Times New Roman" w:eastAsia="Times New Roman" w:hAnsi="Times New Roman" w:cs="Times New Roman"/>
        </w:rPr>
        <w:t>Zipin</w:t>
      </w:r>
      <w:proofErr w:type="spellEnd"/>
      <w:r>
        <w:rPr>
          <w:rFonts w:ascii="Times New Roman" w:eastAsia="Times New Roman" w:hAnsi="Times New Roman" w:cs="Times New Roman"/>
        </w:rPr>
        <w:t xml:space="preserve"> et al., 2015). </w:t>
      </w:r>
    </w:p>
    <w:p w14:paraId="16D248A9" w14:textId="77777777" w:rsidR="003934E1" w:rsidRDefault="00000000">
      <w:pPr>
        <w:spacing w:before="120" w:after="12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Over the past 15 years,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has experienced an influx of people from various regions of Chhattisgarh and beyond, with the development of new bureaucratic offices, commercial buildings, shops, schools, petrol stations, public parks, stadiums, and private homes.</w:t>
      </w:r>
      <w:r>
        <w:rPr>
          <w:rFonts w:ascii="Times New Roman" w:eastAsia="Times New Roman" w:hAnsi="Times New Roman" w:cs="Times New Roman"/>
          <w:vertAlign w:val="superscript"/>
        </w:rPr>
        <w:footnoteReference w:id="87"/>
      </w:r>
      <w:r>
        <w:rPr>
          <w:rFonts w:ascii="Times New Roman" w:eastAsia="Times New Roman" w:hAnsi="Times New Roman" w:cs="Times New Roman"/>
        </w:rPr>
        <w:t xml:space="preserve"> During this period, migration from rural areas of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has also increased, as people seek work opportunities in the city due to dwindling sources of livelihood in the villages, which comprise a combination of cultivation, collecting forest produce, grazing cattle, </w:t>
      </w:r>
      <w:r>
        <w:rPr>
          <w:rFonts w:ascii="Times New Roman" w:eastAsia="Times New Roman" w:hAnsi="Times New Roman" w:cs="Times New Roman"/>
        </w:rPr>
        <w:lastRenderedPageBreak/>
        <w:t xml:space="preserve">and wage labour. However, despite these migration patterns, there has not been a substantial increase in employment opportunities within private sector companies or industries in the city. It is primarily the public sector and the State that have attempted to accommodate the growing working population, becoming the primary employers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Yet, this effort has been far from sufficient. These jobs are limited in number, and the applicant pool seems to expand greatly each year.</w:t>
      </w:r>
    </w:p>
    <w:p w14:paraId="1C3A2B20" w14:textId="77777777" w:rsidR="003934E1" w:rsidRDefault="00000000">
      <w:pPr>
        <w:spacing w:before="120" w:after="12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Two significant factors explain the lack of substantial private sector presence in and around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First, since Bastar is a Scheduled V area, acquiring land on a large scale in the region is challenging. In 1996, the Parliament of India enacted the Panchayat Extension to Scheduled Areas Act (PESA), which grants decision-making authority to the </w:t>
      </w:r>
      <w:r>
        <w:rPr>
          <w:rFonts w:ascii="Times New Roman" w:eastAsia="Times New Roman" w:hAnsi="Times New Roman" w:cs="Times New Roman"/>
          <w:i/>
        </w:rPr>
        <w:t>Gram Sabhas</w:t>
      </w:r>
      <w:r>
        <w:rPr>
          <w:rFonts w:ascii="Times New Roman" w:eastAsia="Times New Roman" w:hAnsi="Times New Roman" w:cs="Times New Roman"/>
        </w:rPr>
        <w:t xml:space="preserve"> (village councils) in Adivasi-majority areas of states where they are in the minority (officially referred to as Scheduled V areas). It is up to the individual states to establish the necessary rules for implementing PESA. The councils can refuse to sell land to anyone or take appropriate action if Adivasis have been unlawfully dispossessed of their land. Private companies cannot directly purchase land from the Adivasis. Instead, the government acquires land from the people and transfers it to corporations. Private companies, such as Tata and Essar, attempted to establish steel plants in the Bastar region a few years ago, but these plans were abandoned due to strong opposition from the local population. The Adivasis protested against the unlawful acquisition and allocation of land by the state government, the displacement of local Adivasis from their lands, the commercial exploitation of forests and Adivasi lands, and the lack of employment opportunities for local youth (Bharadwaj, 2019; Hinmon, 2007; Navlakha &amp; Gupta, 2009; Putul, 2007).</w:t>
      </w:r>
    </w:p>
    <w:p w14:paraId="7E953925" w14:textId="77777777" w:rsidR="003934E1" w:rsidRDefault="00000000">
      <w:pPr>
        <w:spacing w:before="120" w:after="120" w:line="360" w:lineRule="auto"/>
        <w:ind w:firstLine="567"/>
        <w:jc w:val="both"/>
        <w:rPr>
          <w:rFonts w:ascii="Times New Roman" w:eastAsia="Times New Roman" w:hAnsi="Times New Roman" w:cs="Times New Roman"/>
          <w:sz w:val="22"/>
          <w:szCs w:val="22"/>
        </w:rPr>
      </w:pPr>
      <w:r>
        <w:rPr>
          <w:rFonts w:ascii="Times New Roman" w:eastAsia="Times New Roman" w:hAnsi="Times New Roman" w:cs="Times New Roman"/>
        </w:rPr>
        <w:t xml:space="preserve">The second factor is the conflict of </w:t>
      </w:r>
      <w:proofErr w:type="spellStart"/>
      <w:r>
        <w:rPr>
          <w:rFonts w:ascii="Times New Roman" w:eastAsia="Times New Roman" w:hAnsi="Times New Roman" w:cs="Times New Roman"/>
        </w:rPr>
        <w:t>Naxalism</w:t>
      </w:r>
      <w:proofErr w:type="spellEnd"/>
      <w:r>
        <w:rPr>
          <w:rFonts w:ascii="Times New Roman" w:eastAsia="Times New Roman" w:hAnsi="Times New Roman" w:cs="Times New Roman"/>
        </w:rPr>
        <w:t>, the left-wing extremism that has destabilised the Bastar region for over 30 years (Pandita, 2011; Sundar, 2016).</w:t>
      </w:r>
      <w:r>
        <w:rPr>
          <w:rFonts w:ascii="Times New Roman" w:eastAsia="Times New Roman" w:hAnsi="Times New Roman" w:cs="Times New Roman"/>
          <w:sz w:val="22"/>
          <w:szCs w:val="22"/>
        </w:rPr>
        <w:t xml:space="preserve"> </w:t>
      </w:r>
      <w:r>
        <w:rPr>
          <w:rFonts w:ascii="Times New Roman" w:eastAsia="Times New Roman" w:hAnsi="Times New Roman" w:cs="Times New Roman"/>
        </w:rPr>
        <w:t xml:space="preserve">A decade ago,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and many nearby areas also witnessed and suffered from the violence stemming from </w:t>
      </w:r>
      <w:proofErr w:type="spellStart"/>
      <w:r>
        <w:rPr>
          <w:rFonts w:ascii="Times New Roman" w:eastAsia="Times New Roman" w:hAnsi="Times New Roman" w:cs="Times New Roman"/>
        </w:rPr>
        <w:t>Naxalism</w:t>
      </w:r>
      <w:proofErr w:type="spellEnd"/>
      <w:r>
        <w:rPr>
          <w:rFonts w:ascii="Times New Roman" w:eastAsia="Times New Roman" w:hAnsi="Times New Roman" w:cs="Times New Roman"/>
        </w:rPr>
        <w:t>.</w:t>
      </w:r>
      <w:r>
        <w:rPr>
          <w:rFonts w:ascii="Times New Roman" w:eastAsia="Times New Roman" w:hAnsi="Times New Roman" w:cs="Times New Roman"/>
          <w:sz w:val="22"/>
          <w:szCs w:val="22"/>
        </w:rPr>
        <w:t xml:space="preserve"> </w:t>
      </w:r>
      <w:r>
        <w:rPr>
          <w:rFonts w:ascii="Times New Roman" w:eastAsia="Times New Roman" w:hAnsi="Times New Roman" w:cs="Times New Roman"/>
        </w:rPr>
        <w:t xml:space="preserve">However, in recent years, many Naxal groups in Bastar have splintered. This has been accompanied by the emergence of numerous anti-Naxal camps for the security personnel of the Indian State in the rural areas surrounding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As more roads connecting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to its rural areas have been constructed, the Naxals have begun to retreat into the interior forests. Consequently, more schools have opened in rural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enhancing access to education for Adivasi youth. That said, the law and order situation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remains fragile, though less so compared to other parts of Bastar. In light of this background, industrialists do not see much promise in Bastar for private investment.</w:t>
      </w:r>
    </w:p>
    <w:p w14:paraId="3DBE4E6E" w14:textId="77777777" w:rsidR="003934E1" w:rsidRDefault="00000000">
      <w:pPr>
        <w:spacing w:before="120" w:after="120" w:line="360" w:lineRule="auto"/>
        <w:ind w:firstLine="567"/>
        <w:jc w:val="both"/>
        <w:rPr>
          <w:rFonts w:ascii="Times New Roman" w:eastAsia="Times New Roman" w:hAnsi="Times New Roman" w:cs="Times New Roman"/>
        </w:rPr>
      </w:pPr>
      <w:r>
        <w:rPr>
          <w:rFonts w:ascii="Times New Roman" w:eastAsia="Times New Roman" w:hAnsi="Times New Roman" w:cs="Times New Roman"/>
        </w:rPr>
        <w:lastRenderedPageBreak/>
        <w:t xml:space="preserve">Given these economic uncertainties, there is sustained pressure on the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to consider specific actions to minimise the risks associated with the systemic inequalities that persist in their everyday lives (see also Colombo &amp; </w:t>
      </w:r>
      <w:proofErr w:type="spellStart"/>
      <w:r>
        <w:rPr>
          <w:rFonts w:ascii="Times New Roman" w:eastAsia="Times New Roman" w:hAnsi="Times New Roman" w:cs="Times New Roman"/>
        </w:rPr>
        <w:t>Rebughini</w:t>
      </w:r>
      <w:proofErr w:type="spellEnd"/>
      <w:r>
        <w:rPr>
          <w:rFonts w:ascii="Times New Roman" w:eastAsia="Times New Roman" w:hAnsi="Times New Roman" w:cs="Times New Roman"/>
        </w:rPr>
        <w:t xml:space="preserve">, 2019; Desai, 2022). There are fewer opportunities for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to gradually craft their lives into what they desire, to wander and figure things out. Consequently, as first-generation school goers belonging to an economically vulnerable community, they are facing these uncertainties in the form of economic precarity, which is exacerbated by three additional factors. First, as the youth attempt to turn a new page in their lives after schooling, they must navigate the systemic obstacles posed by the lack of higher educational institutions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and even in Bastar (see also Kumari, 2023).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often drop out of secondary schools and migrate to cities like Hyderabad and Chennai in search of work opportunities. Second, as I mentioned earlier, </w:t>
      </w:r>
      <w:proofErr w:type="spellStart"/>
      <w:r>
        <w:rPr>
          <w:rFonts w:ascii="Times New Roman" w:eastAsia="Times New Roman" w:hAnsi="Times New Roman" w:cs="Times New Roman"/>
        </w:rPr>
        <w:t>Bhurvas</w:t>
      </w:r>
      <w:proofErr w:type="spellEnd"/>
      <w:r>
        <w:rPr>
          <w:rFonts w:ascii="Times New Roman" w:eastAsia="Times New Roman" w:hAnsi="Times New Roman" w:cs="Times New Roman"/>
        </w:rPr>
        <w:t xml:space="preserve"> have been unable to utilize the benefits of reservations due to a lack of opportunities for formal education among their elder generations. </w:t>
      </w:r>
    </w:p>
    <w:p w14:paraId="48D3B3E4" w14:textId="77777777" w:rsidR="003934E1" w:rsidRDefault="00000000">
      <w:pPr>
        <w:spacing w:before="120" w:after="12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Third, the desire of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to expand their imaginative horizons and address their perceived insecurities about the future is interconnected with the sociopolitical conditions in Bastar, a region historically affected by conflict. Many ideas in public discourse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regarding employment, the occupational aspirations of youth, rural-urban interlinkages, and development paradigms derive conviction from practices, media representations, and State operations and projects that respond to the insecurity, fear, and violence induced by </w:t>
      </w:r>
      <w:proofErr w:type="spellStart"/>
      <w:r>
        <w:rPr>
          <w:rFonts w:ascii="Times New Roman" w:eastAsia="Times New Roman" w:hAnsi="Times New Roman" w:cs="Times New Roman"/>
        </w:rPr>
        <w:t>Naxalism</w:t>
      </w:r>
      <w:proofErr w:type="spellEnd"/>
      <w:r>
        <w:rPr>
          <w:rFonts w:ascii="Times New Roman" w:eastAsia="Times New Roman" w:hAnsi="Times New Roman" w:cs="Times New Roman"/>
        </w:rPr>
        <w:t xml:space="preserve"> in Bastar.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are observing, experiencing, and processing these changes. These observations are shaping their ideas, motivations, and perspectives as they learn to interpret their situatedness within the sociopolitical milieu of their everyday lives. </w:t>
      </w:r>
    </w:p>
    <w:p w14:paraId="7CA91B2D" w14:textId="77777777" w:rsidR="003934E1" w:rsidRDefault="00000000">
      <w:pPr>
        <w:spacing w:before="120" w:after="24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For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anxieties about downward social mobility and the fragilities and uncertainties arising from their structural positions of economic marginality can be addressed through aspirational horizons centred around a desire for stable earning opportunities immediately following schooling. This often manifests as a yearning for government jobs and skill-based training post-schooling. Consequently, joining the State’s security forces becomes an appealing option. The educational requirements for entry into these forces in Chhattisgarh motivate youth to dedicate their formative years to them. The minimum educational qualification required for joining the state forces is grade five for Adivasis and grade ten for general candidates. Similarly, the eligibility criteria for the CRPF may include the completion of grades eight, ten, or twelve, depending on the specific posts. The implication is that once an Adivasi youth completes their schooling, they become eligible for various positions in </w:t>
      </w:r>
      <w:r>
        <w:rPr>
          <w:rFonts w:ascii="Times New Roman" w:eastAsia="Times New Roman" w:hAnsi="Times New Roman" w:cs="Times New Roman"/>
        </w:rPr>
        <w:lastRenderedPageBreak/>
        <w:t xml:space="preserve">paramilitary and state forces.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can take an imaginative leap and feel confident in their ability to compete with other applicants, particularly for vacancies in anti-Naxal forces.  </w:t>
      </w:r>
    </w:p>
    <w:p w14:paraId="7E847605" w14:textId="77777777" w:rsidR="003934E1" w:rsidRDefault="00000000">
      <w:pPr>
        <w:spacing w:before="240" w:after="24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II</w:t>
      </w:r>
    </w:p>
    <w:p w14:paraId="3AB09494" w14:textId="77777777" w:rsidR="003934E1" w:rsidRDefault="00000000">
      <w:pPr>
        <w:spacing w:before="240" w:after="24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Aspirational horizons: Through affective relationships</w:t>
      </w:r>
    </w:p>
    <w:p w14:paraId="2340C7DC" w14:textId="77777777" w:rsidR="003934E1" w:rsidRDefault="00000000">
      <w:pPr>
        <w:spacing w:before="24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aspirational horizons are significant for school-going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in secondary grades, helping them avoid feeling unmoored as they make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their own place. However, their attempts to clearly envision these horizons are disturbing the neatness of the meanings associated with the category of ‘home,’ which is captured by their affective relationships with their home villages and families. The nature of change in these relational ties, in light of the evolving aspirations of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will guide us in comprehending what Gina Porter et al. (2010) refer to as “the complex relationality of places and people” in the lives of youth who move between rural and urban areas (p. 797). </w:t>
      </w:r>
    </w:p>
    <w:p w14:paraId="07401173" w14:textId="77777777" w:rsidR="003934E1" w:rsidRDefault="00000000">
      <w:pPr>
        <w:spacing w:before="120" w:after="12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In many individual interviews, right before parting, when I asked the youths about topics they cherished discussing in our conversations, they wore gentle smiles before expressing, “Our village.” They missed living with their families and savouring the food from their home villages. Furthermore, during these occasions, a sense of place seemed to assert itself in pressing ways, and its often-subtle components – as subtle, perhaps, as absent smells in the air or not enough visible sky – surged into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awareness (Basso, 2004, p. xiii). In evoking a sense of place as an affective category,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participants taught me how places are relationally produced among them (see also Low, 2017; Massey, 1993). Even so, the associations of ‘home’ are entangled with anxieties emerging from the re-contextualization of their aspirational futures amidst their quotidian lives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w:t>
      </w:r>
    </w:p>
    <w:p w14:paraId="3FEA2A0A" w14:textId="77777777" w:rsidR="003934E1" w:rsidRDefault="00000000">
      <w:pPr>
        <w:spacing w:before="160" w:after="16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Relational ties: Home villages and families </w:t>
      </w:r>
    </w:p>
    <w:p w14:paraId="155BA37E" w14:textId="77777777" w:rsidR="003934E1" w:rsidRDefault="00000000">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aspirational horizons of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illuminate how their relationship with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is intertwined with their feelings for their home villages. In particular, these feelings pertain to everything the city can offer them that the villages cannot, as demonstrated by quotes from our focus group discussions:</w:t>
      </w:r>
    </w:p>
    <w:p w14:paraId="779BD4CA"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There is a lack of discipline in the schools of my village. Students do not dress properly. They attend school in slippers and with one braid. I don’t think I could have studied there. (Neeru)</w:t>
      </w:r>
    </w:p>
    <w:p w14:paraId="303F362E"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environment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allows us to look at one another, observe different things, and see who is educated. We have new experiences here and discover information about government job vacancies. We learn many things and gain a lot from the city. In the village, it's not like that. People in the village are unaware of these opportunities. (Anand)</w:t>
      </w:r>
    </w:p>
    <w:p w14:paraId="040E52AA" w14:textId="77777777" w:rsidR="003934E1" w:rsidRDefault="00000000">
      <w:pPr>
        <w:spacing w:before="120" w:after="120" w:line="360" w:lineRule="auto"/>
        <w:ind w:left="567" w:right="-46"/>
        <w:jc w:val="both"/>
        <w:rPr>
          <w:rFonts w:ascii="Times New Roman" w:eastAsia="Times New Roman" w:hAnsi="Times New Roman" w:cs="Times New Roman"/>
        </w:rPr>
      </w:pPr>
      <w:r>
        <w:rPr>
          <w:rFonts w:ascii="Times New Roman" w:eastAsia="Times New Roman" w:hAnsi="Times New Roman" w:cs="Times New Roman"/>
        </w:rPr>
        <w:t>People in the village still question the value of education. They assert, ‘One ought to start working and earning money.’ (Mukta) </w:t>
      </w:r>
    </w:p>
    <w:p w14:paraId="3485EFF7" w14:textId="77777777" w:rsidR="003934E1" w:rsidRDefault="00000000">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These perspectives highlight that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home villages are struggling to expand anywhere near the horizons of their aspirations. As for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it reminds me of what Francesca Meloni (2019) writes regarding youth and their ways of establishing affective relationships: “Through the illusion and potentiality of their desires, youth are able to invest places with new meanings and projects which could be or could simply not be” (p. 473). </w:t>
      </w:r>
    </w:p>
    <w:p w14:paraId="1153B704" w14:textId="77777777" w:rsidR="003934E1" w:rsidRDefault="00000000">
      <w:pPr>
        <w:spacing w:before="120" w:after="24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Aspiring is a relational, subjective, and intersubjective process among youth (Froerer, Ansell, &amp; Huijsman, 2022; </w:t>
      </w:r>
      <w:proofErr w:type="spellStart"/>
      <w:r>
        <w:rPr>
          <w:rFonts w:ascii="Times New Roman" w:eastAsia="Times New Roman" w:hAnsi="Times New Roman" w:cs="Times New Roman"/>
        </w:rPr>
        <w:t>Zipin</w:t>
      </w:r>
      <w:proofErr w:type="spellEnd"/>
      <w:r>
        <w:rPr>
          <w:rFonts w:ascii="Times New Roman" w:eastAsia="Times New Roman" w:hAnsi="Times New Roman" w:cs="Times New Roman"/>
        </w:rPr>
        <w:t xml:space="preserve"> et al., 2015). For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the nature of change in the villages is not conducive to the flourishing of such a complex process. The State's allocation of time, resources, and efforts has been significantly skewed in favour of the city of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and its surrounding areas, resulting in a shortage of higher secondary schools, limited livelihood options, and a stagnating village economy in rural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where most </w:t>
      </w:r>
      <w:proofErr w:type="spellStart"/>
      <w:r>
        <w:rPr>
          <w:rFonts w:ascii="Times New Roman" w:eastAsia="Times New Roman" w:hAnsi="Times New Roman" w:cs="Times New Roman"/>
        </w:rPr>
        <w:t>Bhurvas</w:t>
      </w:r>
      <w:proofErr w:type="spellEnd"/>
      <w:r>
        <w:rPr>
          <w:rFonts w:ascii="Times New Roman" w:eastAsia="Times New Roman" w:hAnsi="Times New Roman" w:cs="Times New Roman"/>
        </w:rPr>
        <w:t xml:space="preserve"> reside. For many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agricultural work is no longer a valued pursuit but a task that must be sustained due to its importance for the family, the village, and economic circumstances (see also Froerer, 2015; Morrow, 2013). Moreover,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struggle to understand their relationship with their home villages in terms of physical proximity. There are many moments in their daily lives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when they wish to visit their villages but feel overwhelmed by restlessness and dissatisfaction during what they regard as extended stays at home. The idea of spending more time in the villages seems far more appealing than the actual experience of doing so. </w:t>
      </w:r>
    </w:p>
    <w:p w14:paraId="53A0D797" w14:textId="77777777" w:rsidR="003934E1" w:rsidRDefault="00000000">
      <w:pPr>
        <w:ind w:left="-142"/>
        <w:jc w:val="both"/>
        <w:rPr>
          <w:rFonts w:ascii="Times New Roman" w:eastAsia="Times New Roman" w:hAnsi="Times New Roman" w:cs="Times New Roman"/>
          <w:color w:val="FF0000"/>
          <w:sz w:val="22"/>
          <w:szCs w:val="22"/>
        </w:rPr>
      </w:pPr>
      <w:r>
        <w:rPr>
          <w:rFonts w:ascii="Times New Roman" w:eastAsia="Times New Roman" w:hAnsi="Times New Roman" w:cs="Times New Roman"/>
          <w:noProof/>
          <w:color w:val="FF0000"/>
        </w:rPr>
        <w:lastRenderedPageBreak/>
        <w:drawing>
          <wp:inline distT="0" distB="0" distL="0" distR="0" wp14:anchorId="5373E9B0" wp14:editId="20D8DD35">
            <wp:extent cx="5731200" cy="4635500"/>
            <wp:effectExtent l="0" t="0" r="0" b="0"/>
            <wp:docPr id="1811818204" name="image17.jpg" descr="A person standing in a fie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jpg" descr="A person standing in a field&#10;&#10;Description automatically generated"/>
                    <pic:cNvPicPr preferRelativeResize="0"/>
                  </pic:nvPicPr>
                  <pic:blipFill>
                    <a:blip r:embed="rId61"/>
                    <a:srcRect/>
                    <a:stretch>
                      <a:fillRect/>
                    </a:stretch>
                  </pic:blipFill>
                  <pic:spPr>
                    <a:xfrm>
                      <a:off x="0" y="0"/>
                      <a:ext cx="5731200" cy="4635500"/>
                    </a:xfrm>
                    <a:prstGeom prst="rect">
                      <a:avLst/>
                    </a:prstGeom>
                    <a:ln/>
                  </pic:spPr>
                </pic:pic>
              </a:graphicData>
            </a:graphic>
          </wp:inline>
        </w:drawing>
      </w:r>
    </w:p>
    <w:p w14:paraId="5C7B8C1A" w14:textId="77777777" w:rsidR="003934E1" w:rsidRDefault="00000000">
      <w:pPr>
        <w:spacing w:before="120" w:after="120" w:line="360" w:lineRule="auto"/>
        <w:jc w:val="both"/>
        <w:rPr>
          <w:rFonts w:ascii="Times New Roman" w:eastAsia="Times New Roman" w:hAnsi="Times New Roman" w:cs="Times New Roman"/>
          <w:color w:val="FF0000"/>
          <w:sz w:val="22"/>
          <w:szCs w:val="22"/>
        </w:rPr>
      </w:pPr>
      <w:r>
        <w:rPr>
          <w:rFonts w:ascii="Times New Roman" w:eastAsia="Times New Roman" w:hAnsi="Times New Roman" w:cs="Times New Roman"/>
          <w:sz w:val="20"/>
          <w:szCs w:val="20"/>
        </w:rPr>
        <w:t>Between aspiration and fulfilment: Puneet looks over the fields his family owns. Photo taken by author.</w:t>
      </w:r>
    </w:p>
    <w:p w14:paraId="0ABAAFE5" w14:textId="77777777" w:rsidR="003934E1" w:rsidRDefault="00000000">
      <w:pPr>
        <w:spacing w:before="120" w:after="12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These feelings of ambivalence towards their villages intensify when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reflect on their relationships with the cultural practices and rituals that characterize their home villages. Since childhood, they have formed impressions of their villages, which, as Nandini Sundar (1997) beautifully depicts, “are not just collections of different lineages, but places marked by memories and particular spirits inhabiting particular spots; specific stones and bends in the river, specific trees and paths – all have their stories” (p. 35). However, over time, as they have gained a deeper understanding of the connection between their evolving identities, sense of belonging, socialization, and narratives of their multiple selves through their lives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they have lacked opportunities to learn about – and appreciate – these cultural stories that enliven their villages. Sometimes, they also lack the motivation to do so. Rishi, who spends significant time with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in rural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as a government school teacher and a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community member, commented on this issue during his interview: </w:t>
      </w:r>
    </w:p>
    <w:p w14:paraId="36FA8DA1" w14:textId="77777777" w:rsidR="003934E1" w:rsidRDefault="00000000">
      <w:pPr>
        <w:spacing w:before="120" w:after="120" w:line="360" w:lineRule="auto"/>
        <w:ind w:left="567" w:right="-46"/>
        <w:jc w:val="both"/>
        <w:rPr>
          <w:rFonts w:ascii="Times New Roman" w:eastAsia="Times New Roman" w:hAnsi="Times New Roman" w:cs="Times New Roman"/>
        </w:rPr>
      </w:pPr>
      <w:r>
        <w:rPr>
          <w:rFonts w:ascii="Times New Roman" w:eastAsia="Times New Roman" w:hAnsi="Times New Roman" w:cs="Times New Roman"/>
        </w:rPr>
        <w:t xml:space="preserve">See, like you understand the importance of our culture and are pursuing a PhD, there is no one to talk to our youth about this when they return to their villages and spend time </w:t>
      </w:r>
      <w:r>
        <w:rPr>
          <w:rFonts w:ascii="Times New Roman" w:eastAsia="Times New Roman" w:hAnsi="Times New Roman" w:cs="Times New Roman"/>
        </w:rPr>
        <w:lastRenderedPageBreak/>
        <w:t xml:space="preserve">with their families. No one is there to make them aware that they have been born into a community with such a rich cultural history, allowing them to feel pride in identifying themselves as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develop a sense of belonging, and boost their self-confidence.</w:t>
      </w:r>
    </w:p>
    <w:p w14:paraId="45181E1F" w14:textId="77777777" w:rsidR="003934E1" w:rsidRDefault="00000000">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Thus,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often feel torn when trying to envision a place for their evolving identities within the sociocultural context of their villages.</w:t>
      </w:r>
    </w:p>
    <w:p w14:paraId="494873C9" w14:textId="77777777" w:rsidR="003934E1" w:rsidRDefault="00000000">
      <w:pPr>
        <w:spacing w:after="16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These feelings of ambivalence regarding ‘home’ and village are also intertwined with disjunctions in the processes that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lean upon to derive meanings from their filial relationships. I asked the participants if they would like their families to live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Given the uncertainties and complexities of their lives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many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would prefer living near or with their families. They do not wish to be deprived of the emotional, moral, and financial support from their family members and loved ones as they navigate city life daily (c.f. Morris &amp; Adjei, 2021).</w:t>
      </w:r>
      <w:r>
        <w:rPr>
          <w:rFonts w:ascii="Times New Roman" w:eastAsia="Times New Roman" w:hAnsi="Times New Roman" w:cs="Times New Roman"/>
          <w:vertAlign w:val="superscript"/>
        </w:rPr>
        <w:footnoteReference w:id="88"/>
      </w:r>
    </w:p>
    <w:p w14:paraId="7B8ECEC4" w14:textId="77777777" w:rsidR="003934E1" w:rsidRDefault="00000000">
      <w:pPr>
        <w:spacing w:before="120" w:after="240" w:line="360" w:lineRule="auto"/>
        <w:ind w:firstLine="567"/>
        <w:jc w:val="both"/>
        <w:rPr>
          <w:rFonts w:ascii="Times New Roman" w:eastAsia="Times New Roman" w:hAnsi="Times New Roman" w:cs="Times New Roman"/>
        </w:rPr>
      </w:pPr>
      <w:bookmarkStart w:id="17" w:name="bookmark=kix.xdfsw5jdngce" w:colFirst="0" w:colLast="0"/>
      <w:bookmarkEnd w:id="17"/>
      <w:r>
        <w:rPr>
          <w:rFonts w:ascii="Times New Roman" w:eastAsia="Times New Roman" w:hAnsi="Times New Roman" w:cs="Times New Roman"/>
        </w:rPr>
        <w:t xml:space="preserve">The prospect of living with family members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is appealing yet fraught with conflicting feelings.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believe they would struggle to devote sufficient time to their studies if they stayed with their families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mirroring their experiences in their villages. They associate feelings of home with their villages and families. As they have learnt ways of living and studying in the hostels, they have also demarcated ‘home’ as a place where they find it difficult to motivate themselves to study. Ishika said in her interview, “There is too much work to be taken care of at home, like going to the fields, sweeping and dusting the house, cooking the food.” These experiences of household and agricultural work, along with living with family, a lack of time, and the absence of spaces for focused self-study, make it challenging to dedicate time to studying in the village.</w:t>
      </w:r>
      <w:r>
        <w:rPr>
          <w:rFonts w:ascii="Times New Roman" w:eastAsia="Times New Roman" w:hAnsi="Times New Roman" w:cs="Times New Roman"/>
          <w:vertAlign w:val="superscript"/>
        </w:rPr>
        <w:footnoteReference w:id="89"/>
      </w:r>
      <w:r>
        <w:rPr>
          <w:rFonts w:ascii="Times New Roman" w:eastAsia="Times New Roman" w:hAnsi="Times New Roman" w:cs="Times New Roman"/>
        </w:rPr>
        <w:t xml:space="preserve"> Their lives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furnished with academics, sports, and other activities, are guiding them towards aspirations that necessitate a new language – the language of possibility. Having family members in close </w:t>
      </w:r>
      <w:r>
        <w:rPr>
          <w:rFonts w:ascii="Times New Roman" w:eastAsia="Times New Roman" w:hAnsi="Times New Roman" w:cs="Times New Roman"/>
        </w:rPr>
        <w:lastRenderedPageBreak/>
        <w:t xml:space="preserve">quarters can fracture the meanings this language entails regarding their actions, choices, and decisions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Ayush spoke for many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living in the hostels when he said, “We’re staying away from home, so we think if we don’t study in the hostel, then what have we come here for?” </w:t>
      </w:r>
    </w:p>
    <w:p w14:paraId="309F32DC" w14:textId="77777777" w:rsidR="003934E1" w:rsidRDefault="00000000">
      <w:pPr>
        <w:spacing w:before="120"/>
        <w:ind w:left="-142" w:right="-45"/>
        <w:jc w:val="both"/>
        <w:rPr>
          <w:rFonts w:ascii="Times New Roman" w:eastAsia="Times New Roman" w:hAnsi="Times New Roman" w:cs="Times New Roman"/>
          <w:color w:val="FF0000"/>
          <w:sz w:val="22"/>
          <w:szCs w:val="22"/>
        </w:rPr>
      </w:pPr>
      <w:r>
        <w:rPr>
          <w:noProof/>
        </w:rPr>
        <w:drawing>
          <wp:inline distT="0" distB="0" distL="0" distR="0" wp14:anchorId="3AAAECAE" wp14:editId="4A46B26A">
            <wp:extent cx="5731200" cy="3594100"/>
            <wp:effectExtent l="0" t="0" r="0" b="0"/>
            <wp:docPr id="1811818206" name="image11.jpg" descr="A road with a dirt road and tre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jpg" descr="A road with a dirt road and trees&#10;&#10;Description automatically generated with medium confidence"/>
                    <pic:cNvPicPr preferRelativeResize="0"/>
                  </pic:nvPicPr>
                  <pic:blipFill>
                    <a:blip r:embed="rId62"/>
                    <a:srcRect/>
                    <a:stretch>
                      <a:fillRect/>
                    </a:stretch>
                  </pic:blipFill>
                  <pic:spPr>
                    <a:xfrm>
                      <a:off x="0" y="0"/>
                      <a:ext cx="5731200" cy="3594100"/>
                    </a:xfrm>
                    <a:prstGeom prst="rect">
                      <a:avLst/>
                    </a:prstGeom>
                    <a:ln/>
                  </pic:spPr>
                </pic:pic>
              </a:graphicData>
            </a:graphic>
          </wp:inline>
        </w:drawing>
      </w:r>
    </w:p>
    <w:p w14:paraId="666EECEC" w14:textId="77777777" w:rsidR="003934E1" w:rsidRDefault="00000000">
      <w:pPr>
        <w:spacing w:after="24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For Adivasi youth, dilemmas arising from living in the city often feel like contemplating and choosing between distinctive paths. Photo taken by author in a participant’s home village.</w:t>
      </w:r>
    </w:p>
    <w:p w14:paraId="4884131E" w14:textId="77777777" w:rsidR="003934E1" w:rsidRDefault="00000000">
      <w:pPr>
        <w:spacing w:before="120" w:after="24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This affective ambivalence is reflected in the tensions between their yearning to cherish relationships of mutual dependence with their family members by spending more time in their home villages or being with family members in the city, and the desire to expand their occupational aspirational horizons by living in a semi-urban city like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Such an urban setting can be an enabler of possibilities, offering more facilities and opportunities to cultivate social connections. Thus, it has the scope to fulfil their aspirations, whether these aspirations are fleeting or those with more enduring foundations in their inner lives.</w:t>
      </w:r>
    </w:p>
    <w:p w14:paraId="0DDE49A2" w14:textId="77777777" w:rsidR="003934E1" w:rsidRDefault="00000000">
      <w:pPr>
        <w:spacing w:before="240" w:after="24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III</w:t>
      </w:r>
    </w:p>
    <w:p w14:paraId="23BB7643" w14:textId="77777777" w:rsidR="003934E1" w:rsidRDefault="00000000">
      <w:pPr>
        <w:spacing w:before="240" w:after="24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 xml:space="preserve">Aspirational horizons: Broader political implications </w:t>
      </w:r>
    </w:p>
    <w:p w14:paraId="69B4BAD5" w14:textId="77777777" w:rsidR="003934E1" w:rsidRDefault="00000000">
      <w:pPr>
        <w:spacing w:before="240" w:after="12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relationalities of place and people (Porter et al., 2010) have broader implications for the Adivasi </w:t>
      </w:r>
      <w:r>
        <w:rPr>
          <w:rFonts w:ascii="Times New Roman" w:eastAsia="Times New Roman" w:hAnsi="Times New Roman" w:cs="Times New Roman"/>
          <w:i/>
        </w:rPr>
        <w:t xml:space="preserve">samaj </w:t>
      </w:r>
      <w:r>
        <w:rPr>
          <w:rFonts w:ascii="Times New Roman" w:eastAsia="Times New Roman" w:hAnsi="Times New Roman" w:cs="Times New Roman"/>
        </w:rPr>
        <w:t xml:space="preserve">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as well as for the </w:t>
      </w:r>
      <w:r>
        <w:rPr>
          <w:rFonts w:ascii="Times New Roman" w:eastAsia="Times New Roman" w:hAnsi="Times New Roman" w:cs="Times New Roman"/>
          <w:i/>
        </w:rPr>
        <w:t>samaj</w:t>
      </w:r>
      <w:r>
        <w:rPr>
          <w:rFonts w:ascii="Times New Roman" w:eastAsia="Times New Roman" w:hAnsi="Times New Roman" w:cs="Times New Roman"/>
        </w:rPr>
        <w:t xml:space="preserve">-led sociopolitical movements that seek </w:t>
      </w:r>
      <w:r>
        <w:rPr>
          <w:rFonts w:ascii="Times New Roman" w:eastAsia="Times New Roman" w:hAnsi="Times New Roman" w:cs="Times New Roman"/>
        </w:rPr>
        <w:lastRenderedPageBreak/>
        <w:t xml:space="preserve">social justice, constitutional entitlements, and a life of dignity. During the fieldwork, while spending time with politically influential Adivasi informants to comprehend the texts behind various social actors’ invocation of the term ‘Adivasi </w:t>
      </w:r>
      <w:r>
        <w:rPr>
          <w:rFonts w:ascii="Times New Roman" w:eastAsia="Times New Roman" w:hAnsi="Times New Roman" w:cs="Times New Roman"/>
          <w:i/>
        </w:rPr>
        <w:t>samaj</w:t>
      </w:r>
      <w:r>
        <w:rPr>
          <w:rFonts w:ascii="Times New Roman" w:eastAsia="Times New Roman" w:hAnsi="Times New Roman" w:cs="Times New Roman"/>
        </w:rPr>
        <w:t xml:space="preserve">,’ I learnt about the range of ways in which people understand and assign sociocultural meanings to this term. These understandings suggest a form of group self-identification that can be construed as an assertion of Adivasi identities, which is vital in shaping social relations among Adivasi communities, based on engagement with State practices, development discourses, and solidarity (for example, see Oskarsson &amp; Sareen, 2020; </w:t>
      </w:r>
      <w:proofErr w:type="spellStart"/>
      <w:r>
        <w:rPr>
          <w:rFonts w:ascii="Times New Roman" w:eastAsia="Times New Roman" w:hAnsi="Times New Roman" w:cs="Times New Roman"/>
        </w:rPr>
        <w:t>Steur</w:t>
      </w:r>
      <w:proofErr w:type="spellEnd"/>
      <w:r>
        <w:rPr>
          <w:rFonts w:ascii="Times New Roman" w:eastAsia="Times New Roman" w:hAnsi="Times New Roman" w:cs="Times New Roman"/>
        </w:rPr>
        <w:t xml:space="preserve">, 2017). The gravity of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aspirational horizons also needs to be considered in relation to their identification with the Adivasi </w:t>
      </w:r>
      <w:r>
        <w:rPr>
          <w:rFonts w:ascii="Times New Roman" w:eastAsia="Times New Roman" w:hAnsi="Times New Roman" w:cs="Times New Roman"/>
          <w:i/>
        </w:rPr>
        <w:t>samaj</w:t>
      </w:r>
      <w:r>
        <w:rPr>
          <w:rFonts w:ascii="Times New Roman" w:eastAsia="Times New Roman" w:hAnsi="Times New Roman" w:cs="Times New Roman"/>
        </w:rPr>
        <w:t xml:space="preserve">.  </w:t>
      </w:r>
    </w:p>
    <w:p w14:paraId="55707D0E" w14:textId="77777777" w:rsidR="003934E1" w:rsidRDefault="00000000">
      <w:pPr>
        <w:spacing w:before="120" w:after="12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In the summer of 2023, I witnessed protests by the Adivasi </w:t>
      </w:r>
      <w:r>
        <w:rPr>
          <w:rFonts w:ascii="Times New Roman" w:eastAsia="Times New Roman" w:hAnsi="Times New Roman" w:cs="Times New Roman"/>
          <w:i/>
        </w:rPr>
        <w:t xml:space="preserve">samaj </w:t>
      </w:r>
      <w:r>
        <w:rPr>
          <w:rFonts w:ascii="Times New Roman" w:eastAsia="Times New Roman" w:hAnsi="Times New Roman" w:cs="Times New Roman"/>
        </w:rPr>
        <w:t xml:space="preserve">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which took the form of road blockades, strikes, and mass meetings in public maidans, seeking collective rights from the State to access resources through local recruitment in Bastar and constitutional entitlements using a better reservation formula in Chhattisgarh.</w:t>
      </w:r>
      <w:r>
        <w:rPr>
          <w:rFonts w:ascii="Times New Roman" w:eastAsia="Times New Roman" w:hAnsi="Times New Roman" w:cs="Times New Roman"/>
          <w:vertAlign w:val="superscript"/>
        </w:rPr>
        <w:footnoteReference w:id="90"/>
      </w:r>
      <w:r>
        <w:rPr>
          <w:rFonts w:ascii="Times New Roman" w:eastAsia="Times New Roman" w:hAnsi="Times New Roman" w:cs="Times New Roman"/>
        </w:rPr>
        <w:t xml:space="preserve"> The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community members sought ways to create and share collective experiences with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that could inspire powerful modalities of action among the Adivasi </w:t>
      </w:r>
      <w:r>
        <w:rPr>
          <w:rFonts w:ascii="Times New Roman" w:eastAsia="Times New Roman" w:hAnsi="Times New Roman" w:cs="Times New Roman"/>
          <w:i/>
        </w:rPr>
        <w:t>samaj</w:t>
      </w:r>
      <w:r>
        <w:rPr>
          <w:rFonts w:ascii="Times New Roman" w:eastAsia="Times New Roman" w:hAnsi="Times New Roman" w:cs="Times New Roman"/>
        </w:rPr>
        <w:t xml:space="preserve"> during these protests. The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elders desired to work towards Adivasi mobilization through these local, sociopolitical movements that are at the heart of the negotiations of Adivasi communities with </w:t>
      </w:r>
      <w:r>
        <w:rPr>
          <w:rFonts w:ascii="Times New Roman" w:eastAsia="Times New Roman" w:hAnsi="Times New Roman" w:cs="Times New Roman"/>
        </w:rPr>
        <w:lastRenderedPageBreak/>
        <w:t xml:space="preserve">the Indian State, as the Adivasis assert their collective identities to claim their legal rights to land, forests, and other resources in central India (Kumar &amp; Kerr, 2012; Mahana, 2019). </w:t>
      </w:r>
    </w:p>
    <w:p w14:paraId="577A6FB4" w14:textId="77777777" w:rsidR="003934E1" w:rsidRDefault="00000000">
      <w:pPr>
        <w:spacing w:before="120" w:after="12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However, their expectations were met with disappointment because the youth mobilisation fell short of what they had hoped to achieve. Some informants shared that the Adivasi </w:t>
      </w:r>
      <w:r>
        <w:rPr>
          <w:rFonts w:ascii="Times New Roman" w:eastAsia="Times New Roman" w:hAnsi="Times New Roman" w:cs="Times New Roman"/>
          <w:i/>
        </w:rPr>
        <w:t>samaj</w:t>
      </w:r>
      <w:r>
        <w:rPr>
          <w:rFonts w:ascii="Times New Roman" w:eastAsia="Times New Roman" w:hAnsi="Times New Roman" w:cs="Times New Roman"/>
        </w:rPr>
        <w:t xml:space="preserve"> has been confronting this challenge for some time now. Through in-depth interviews with five members of the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community who are actively involved in these movements, along with informal conversations with Adivasi educators in schools, I examined the contexts that explain the lack of youth involvement in the cultural and embodied practices that strengthen the rights movements and advocacy efforts of the Adivasi </w:t>
      </w:r>
      <w:r>
        <w:rPr>
          <w:rFonts w:ascii="Times New Roman" w:eastAsia="Times New Roman" w:hAnsi="Times New Roman" w:cs="Times New Roman"/>
          <w:i/>
        </w:rPr>
        <w:t>samaj</w:t>
      </w:r>
      <w:r>
        <w:rPr>
          <w:rFonts w:ascii="Times New Roman" w:eastAsia="Times New Roman" w:hAnsi="Times New Roman" w:cs="Times New Roman"/>
        </w:rPr>
        <w:t>.</w:t>
      </w:r>
    </w:p>
    <w:p w14:paraId="0F1C42A1" w14:textId="77777777" w:rsidR="003934E1" w:rsidRDefault="00000000">
      <w:pPr>
        <w:spacing w:before="120" w:after="12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The uncertainties stemming from the economic vulnerabilities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have created an environment in which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are bound to struggle between taking care of livelihoods for their families and themselves and mobilizing around issues critical to the long-term welfare, security, and development of both </w:t>
      </w:r>
      <w:proofErr w:type="spellStart"/>
      <w:r>
        <w:rPr>
          <w:rFonts w:ascii="Times New Roman" w:eastAsia="Times New Roman" w:hAnsi="Times New Roman" w:cs="Times New Roman"/>
        </w:rPr>
        <w:t>Bhurvas</w:t>
      </w:r>
      <w:proofErr w:type="spellEnd"/>
      <w:r>
        <w:rPr>
          <w:rFonts w:ascii="Times New Roman" w:eastAsia="Times New Roman" w:hAnsi="Times New Roman" w:cs="Times New Roman"/>
        </w:rPr>
        <w:t xml:space="preserve"> and Adivasis. On one hand,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like the young people I am working with, are absorbed in schooling and cultivating their futures amidst economic uncertainty and cannot afford the time and effort often demanded by meetings, movements, and other grassroots work associated with the sociopolitical movements led by the Adivasi </w:t>
      </w:r>
      <w:r>
        <w:rPr>
          <w:rFonts w:ascii="Times New Roman" w:eastAsia="Times New Roman" w:hAnsi="Times New Roman" w:cs="Times New Roman"/>
          <w:i/>
        </w:rPr>
        <w:t>samaj</w:t>
      </w:r>
      <w:r>
        <w:rPr>
          <w:rFonts w:ascii="Times New Roman" w:eastAsia="Times New Roman" w:hAnsi="Times New Roman" w:cs="Times New Roman"/>
        </w:rPr>
        <w:t xml:space="preserve">. I have also illustrated in the previous section that as they pursue their aspirations, their affective ties with their home villages and families are riddled with ambiguities, which is bound to influence their understandings of what ‘Adivasi </w:t>
      </w:r>
      <w:r>
        <w:rPr>
          <w:rFonts w:ascii="Times New Roman" w:eastAsia="Times New Roman" w:hAnsi="Times New Roman" w:cs="Times New Roman"/>
          <w:i/>
        </w:rPr>
        <w:t>samaj</w:t>
      </w:r>
      <w:r>
        <w:rPr>
          <w:rFonts w:ascii="Times New Roman" w:eastAsia="Times New Roman" w:hAnsi="Times New Roman" w:cs="Times New Roman"/>
        </w:rPr>
        <w:t xml:space="preserve">’ entails. The elders of the Adivasi </w:t>
      </w:r>
      <w:r>
        <w:rPr>
          <w:rFonts w:ascii="Times New Roman" w:eastAsia="Times New Roman" w:hAnsi="Times New Roman" w:cs="Times New Roman"/>
          <w:i/>
        </w:rPr>
        <w:t xml:space="preserve">samaj </w:t>
      </w:r>
      <w:r>
        <w:rPr>
          <w:rFonts w:ascii="Times New Roman" w:eastAsia="Times New Roman" w:hAnsi="Times New Roman" w:cs="Times New Roman"/>
        </w:rPr>
        <w:t xml:space="preserve">are worried that many youths currently studying in the city have been away from their home villages for years, as some of them also attended Ashram schools for their primary education before moving to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for further schooling. They feel a sense of disconnection from the needs and aspirations of the Adivasi </w:t>
      </w:r>
      <w:r>
        <w:rPr>
          <w:rFonts w:ascii="Times New Roman" w:eastAsia="Times New Roman" w:hAnsi="Times New Roman" w:cs="Times New Roman"/>
          <w:i/>
        </w:rPr>
        <w:t>samaj</w:t>
      </w:r>
      <w:r>
        <w:rPr>
          <w:rFonts w:ascii="Times New Roman" w:eastAsia="Times New Roman" w:hAnsi="Times New Roman" w:cs="Times New Roman"/>
        </w:rPr>
        <w:t xml:space="preserve"> (see also Maithreyi, Prabha, &amp; Viknesh, 2022).</w:t>
      </w:r>
      <w:r>
        <w:rPr>
          <w:rFonts w:ascii="Times New Roman" w:eastAsia="Times New Roman" w:hAnsi="Times New Roman" w:cs="Times New Roman"/>
          <w:vertAlign w:val="superscript"/>
        </w:rPr>
        <w:footnoteReference w:id="91"/>
      </w:r>
      <w:r>
        <w:rPr>
          <w:rFonts w:ascii="Times New Roman" w:eastAsia="Times New Roman" w:hAnsi="Times New Roman" w:cs="Times New Roman"/>
        </w:rPr>
        <w:t xml:space="preserve"> On the other hand, most older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in their 20s find it difficult to devote time to advocacy work because they are already navigating vulnerable livelihoods to make ends meet in their own lives.</w:t>
      </w:r>
      <w:r>
        <w:rPr>
          <w:rFonts w:ascii="Times New Roman" w:eastAsia="Times New Roman" w:hAnsi="Times New Roman" w:cs="Times New Roman"/>
          <w:vertAlign w:val="superscript"/>
        </w:rPr>
        <w:t xml:space="preserve"> </w:t>
      </w:r>
    </w:p>
    <w:p w14:paraId="4A34E617" w14:textId="77777777" w:rsidR="003934E1" w:rsidRDefault="00000000">
      <w:pPr>
        <w:spacing w:before="120" w:after="12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The Adivasi </w:t>
      </w:r>
      <w:r>
        <w:rPr>
          <w:rFonts w:ascii="Times New Roman" w:eastAsia="Times New Roman" w:hAnsi="Times New Roman" w:cs="Times New Roman"/>
          <w:i/>
        </w:rPr>
        <w:t xml:space="preserve">samaj </w:t>
      </w:r>
      <w:r>
        <w:rPr>
          <w:rFonts w:ascii="Times New Roman" w:eastAsia="Times New Roman" w:hAnsi="Times New Roman" w:cs="Times New Roman"/>
        </w:rPr>
        <w:t xml:space="preserve">is making efforts to cultivate the imagination of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and influence the relationships that shape their sense of belonging. However, Bhavya Nath, an </w:t>
      </w:r>
      <w:r>
        <w:rPr>
          <w:rFonts w:ascii="Times New Roman" w:eastAsia="Times New Roman" w:hAnsi="Times New Roman" w:cs="Times New Roman"/>
        </w:rPr>
        <w:lastRenderedPageBreak/>
        <w:t xml:space="preserve">Adivasi activist from the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community, who has experienced various phases of youth mobilization, viewed the issue of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youth’s participation in the work related to the Adivasi </w:t>
      </w:r>
      <w:r>
        <w:rPr>
          <w:rFonts w:ascii="Times New Roman" w:eastAsia="Times New Roman" w:hAnsi="Times New Roman" w:cs="Times New Roman"/>
          <w:i/>
        </w:rPr>
        <w:t>samaj</w:t>
      </w:r>
      <w:r>
        <w:rPr>
          <w:rFonts w:ascii="Times New Roman" w:eastAsia="Times New Roman" w:hAnsi="Times New Roman" w:cs="Times New Roman"/>
        </w:rPr>
        <w:t xml:space="preserve"> with hope, albeit a distant one: </w:t>
      </w:r>
      <w:r>
        <w:rPr>
          <w:rFonts w:ascii="Times New Roman" w:eastAsia="Times New Roman" w:hAnsi="Times New Roman" w:cs="Times New Roman"/>
          <w:sz w:val="28"/>
          <w:szCs w:val="28"/>
        </w:rPr>
        <w:t xml:space="preserve"> </w:t>
      </w:r>
    </w:p>
    <w:p w14:paraId="6A6BE4C2"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Not many youths are attending the Adivasi </w:t>
      </w:r>
      <w:r>
        <w:rPr>
          <w:rFonts w:ascii="Times New Roman" w:eastAsia="Times New Roman" w:hAnsi="Times New Roman" w:cs="Times New Roman"/>
          <w:i/>
        </w:rPr>
        <w:t>samaj</w:t>
      </w:r>
      <w:r>
        <w:rPr>
          <w:rFonts w:ascii="Times New Roman" w:eastAsia="Times New Roman" w:hAnsi="Times New Roman" w:cs="Times New Roman"/>
        </w:rPr>
        <w:t xml:space="preserve"> meetings and protests. We are making efforts because our fight is for the youth; we have already lived over half our lives. We discuss how our youth will be in the future and explore ways to encourage them to join us. We try to reach out to them, and they share their problems with us. They don’t have any jobs. They say, “If we don’t go to the fields, how will we earn our livelihood? How can we leave work and attend the meetings? First, we must take care of our daily meals (</w:t>
      </w:r>
      <w:proofErr w:type="spellStart"/>
      <w:r>
        <w:rPr>
          <w:rFonts w:ascii="Times New Roman" w:eastAsia="Times New Roman" w:hAnsi="Times New Roman" w:cs="Times New Roman"/>
          <w:i/>
        </w:rPr>
        <w:t>rozi</w:t>
      </w:r>
      <w:proofErr w:type="spellEnd"/>
      <w:r>
        <w:rPr>
          <w:rFonts w:ascii="Times New Roman" w:eastAsia="Times New Roman" w:hAnsi="Times New Roman" w:cs="Times New Roman"/>
          <w:i/>
        </w:rPr>
        <w:t xml:space="preserve"> roti</w:t>
      </w:r>
      <w:r>
        <w:rPr>
          <w:rFonts w:ascii="Times New Roman" w:eastAsia="Times New Roman" w:hAnsi="Times New Roman" w:cs="Times New Roman"/>
        </w:rPr>
        <w:t>). Then, if we have time, we can attend meetings.” They are raising valid questions. Our youth must work and earn for themselves. Many of them are casual or skilled labourers. Unless they go for farm-related or informal work, they won’t earn any money. Therefore, unemployment and financial concerns are significant problems that hinder their participation with us.</w:t>
      </w:r>
    </w:p>
    <w:p w14:paraId="4833CF9A" w14:textId="77777777" w:rsidR="003934E1" w:rsidRDefault="00000000">
      <w:pPr>
        <w:spacing w:before="120" w:after="12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I have quoted him in detail to emphasize the vicious loop that betrays the structural forms of inequality marking the lives of </w:t>
      </w:r>
      <w:proofErr w:type="spellStart"/>
      <w:r>
        <w:rPr>
          <w:rFonts w:ascii="Times New Roman" w:eastAsia="Times New Roman" w:hAnsi="Times New Roman" w:cs="Times New Roman"/>
        </w:rPr>
        <w:t>Bhurvas</w:t>
      </w:r>
      <w:proofErr w:type="spellEnd"/>
      <w:r>
        <w:rPr>
          <w:rFonts w:ascii="Times New Roman" w:eastAsia="Times New Roman" w:hAnsi="Times New Roman" w:cs="Times New Roman"/>
          <w:i/>
        </w:rPr>
        <w:t>.</w:t>
      </w:r>
      <w:r>
        <w:rPr>
          <w:rFonts w:ascii="Times New Roman" w:eastAsia="Times New Roman" w:hAnsi="Times New Roman" w:cs="Times New Roman"/>
        </w:rPr>
        <w:t xml:space="preserve"> Due to their precarious economic circumstances,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are unable to attend the meetings of the Adivasi </w:t>
      </w:r>
      <w:r>
        <w:rPr>
          <w:rFonts w:ascii="Times New Roman" w:eastAsia="Times New Roman" w:hAnsi="Times New Roman" w:cs="Times New Roman"/>
          <w:i/>
        </w:rPr>
        <w:t xml:space="preserve">samaj </w:t>
      </w:r>
      <w:r>
        <w:rPr>
          <w:rFonts w:ascii="Times New Roman" w:eastAsia="Times New Roman" w:hAnsi="Times New Roman" w:cs="Times New Roman"/>
        </w:rPr>
        <w:t xml:space="preserve">or make substantial contributions to the advocacy efforts of </w:t>
      </w:r>
      <w:proofErr w:type="spellStart"/>
      <w:r>
        <w:rPr>
          <w:rFonts w:ascii="Times New Roman" w:eastAsia="Times New Roman" w:hAnsi="Times New Roman" w:cs="Times New Roman"/>
        </w:rPr>
        <w:t>Bhurvas</w:t>
      </w:r>
      <w:proofErr w:type="spellEnd"/>
      <w:r>
        <w:rPr>
          <w:rFonts w:ascii="Times New Roman" w:eastAsia="Times New Roman" w:hAnsi="Times New Roman" w:cs="Times New Roman"/>
        </w:rPr>
        <w:t xml:space="preserve"> and Adivasis. However, opportunities for systemic improvements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will be few and far between unless the communities mobilize and fight – politically and socially – for their rights and against their marginalization as collectives. </w:t>
      </w:r>
    </w:p>
    <w:p w14:paraId="06B01AB8" w14:textId="77777777" w:rsidR="003934E1" w:rsidRDefault="00000000">
      <w:pPr>
        <w:spacing w:before="120" w:after="12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The concerns regarding youth mobilization in these advocacy efforts extend beyond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youth, encompassing youth from various Adivasi communities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including Gonds, </w:t>
      </w:r>
      <w:proofErr w:type="spellStart"/>
      <w:r>
        <w:rPr>
          <w:rFonts w:ascii="Times New Roman" w:eastAsia="Times New Roman" w:hAnsi="Times New Roman" w:cs="Times New Roman"/>
        </w:rPr>
        <w:t>Bhatras</w:t>
      </w:r>
      <w:proofErr w:type="spellEnd"/>
      <w:r>
        <w:rPr>
          <w:rFonts w:ascii="Times New Roman" w:eastAsia="Times New Roman" w:hAnsi="Times New Roman" w:cs="Times New Roman"/>
        </w:rPr>
        <w:t xml:space="preserve">, Murias, and </w:t>
      </w:r>
      <w:proofErr w:type="spellStart"/>
      <w:r>
        <w:rPr>
          <w:rFonts w:ascii="Times New Roman" w:eastAsia="Times New Roman" w:hAnsi="Times New Roman" w:cs="Times New Roman"/>
        </w:rPr>
        <w:t>Halbas</w:t>
      </w:r>
      <w:proofErr w:type="spellEnd"/>
      <w:r>
        <w:rPr>
          <w:rFonts w:ascii="Times New Roman" w:eastAsia="Times New Roman" w:hAnsi="Times New Roman" w:cs="Times New Roman"/>
        </w:rPr>
        <w:t xml:space="preserve">. Kishore, another senior </w:t>
      </w:r>
      <w:proofErr w:type="spellStart"/>
      <w:r>
        <w:rPr>
          <w:rFonts w:ascii="Times New Roman" w:eastAsia="Times New Roman" w:hAnsi="Times New Roman" w:cs="Times New Roman"/>
        </w:rPr>
        <w:t>Bhurva</w:t>
      </w:r>
      <w:proofErr w:type="spellEnd"/>
      <w:r>
        <w:rPr>
          <w:rFonts w:ascii="Times New Roman" w:eastAsia="Times New Roman" w:hAnsi="Times New Roman" w:cs="Times New Roman"/>
        </w:rPr>
        <w:t xml:space="preserve"> activist, noted in his interview that the Adivasi </w:t>
      </w:r>
      <w:r>
        <w:rPr>
          <w:rFonts w:ascii="Times New Roman" w:eastAsia="Times New Roman" w:hAnsi="Times New Roman" w:cs="Times New Roman"/>
          <w:i/>
        </w:rPr>
        <w:t>samaj</w:t>
      </w:r>
      <w:r>
        <w:rPr>
          <w:rFonts w:ascii="Times New Roman" w:eastAsia="Times New Roman" w:hAnsi="Times New Roman" w:cs="Times New Roman"/>
        </w:rPr>
        <w:t xml:space="preserve"> needs to make extensive efforts to communicate with Adivasi youth about the issues the </w:t>
      </w:r>
      <w:r>
        <w:rPr>
          <w:rFonts w:ascii="Times New Roman" w:eastAsia="Times New Roman" w:hAnsi="Times New Roman" w:cs="Times New Roman"/>
          <w:i/>
        </w:rPr>
        <w:t>samaj</w:t>
      </w:r>
      <w:r>
        <w:rPr>
          <w:rFonts w:ascii="Times New Roman" w:eastAsia="Times New Roman" w:hAnsi="Times New Roman" w:cs="Times New Roman"/>
        </w:rPr>
        <w:t xml:space="preserve"> is navigating, particularly those who move between rural and urban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He added, “Our Adivasi youth need to be nurtured through stronger feelings of inclusion in the Adivasi </w:t>
      </w:r>
      <w:r>
        <w:rPr>
          <w:rFonts w:ascii="Times New Roman" w:eastAsia="Times New Roman" w:hAnsi="Times New Roman" w:cs="Times New Roman"/>
          <w:i/>
        </w:rPr>
        <w:t>samaj</w:t>
      </w:r>
      <w:r>
        <w:rPr>
          <w:rFonts w:ascii="Times New Roman" w:eastAsia="Times New Roman" w:hAnsi="Times New Roman" w:cs="Times New Roman"/>
        </w:rPr>
        <w:t xml:space="preserve">, especially after their schooling.” </w:t>
      </w:r>
    </w:p>
    <w:p w14:paraId="2CFDBB2B" w14:textId="77777777" w:rsidR="003934E1" w:rsidRDefault="00000000">
      <w:pPr>
        <w:spacing w:before="120" w:after="12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The efforts of the Adivasi </w:t>
      </w:r>
      <w:r>
        <w:rPr>
          <w:rFonts w:ascii="Times New Roman" w:eastAsia="Times New Roman" w:hAnsi="Times New Roman" w:cs="Times New Roman"/>
          <w:i/>
        </w:rPr>
        <w:t>samaj</w:t>
      </w:r>
      <w:r>
        <w:rPr>
          <w:rFonts w:ascii="Times New Roman" w:eastAsia="Times New Roman" w:hAnsi="Times New Roman" w:cs="Times New Roman"/>
        </w:rPr>
        <w:t xml:space="preserve"> in this endeavour will be paramount in the future if they are to significantly influence the shifting terrains in which the aspirational horizons of Adivasi youth take shape. Currently, these horizons are enveloped by the shadows of wavering and perilous politico-economic conditions in </w:t>
      </w:r>
      <w:proofErr w:type="spellStart"/>
      <w:r>
        <w:rPr>
          <w:rFonts w:ascii="Times New Roman" w:eastAsia="Times New Roman" w:hAnsi="Times New Roman" w:cs="Times New Roman"/>
        </w:rPr>
        <w:t>Baliyapal</w:t>
      </w:r>
      <w:proofErr w:type="spellEnd"/>
      <w:r>
        <w:rPr>
          <w:rFonts w:ascii="Times New Roman" w:eastAsia="Times New Roman" w:hAnsi="Times New Roman" w:cs="Times New Roman"/>
        </w:rPr>
        <w:t xml:space="preserve"> and Bastar. Furthermore, these feelings of </w:t>
      </w:r>
      <w:r>
        <w:rPr>
          <w:rFonts w:ascii="Times New Roman" w:eastAsia="Times New Roman" w:hAnsi="Times New Roman" w:cs="Times New Roman"/>
        </w:rPr>
        <w:lastRenderedPageBreak/>
        <w:t xml:space="preserve">inclusion will also depend on the relational networks of Adivasi youth within the Adivasi </w:t>
      </w:r>
      <w:r>
        <w:rPr>
          <w:rFonts w:ascii="Times New Roman" w:eastAsia="Times New Roman" w:hAnsi="Times New Roman" w:cs="Times New Roman"/>
          <w:i/>
        </w:rPr>
        <w:t>samaj</w:t>
      </w:r>
      <w:r>
        <w:rPr>
          <w:rFonts w:ascii="Times New Roman" w:eastAsia="Times New Roman" w:hAnsi="Times New Roman" w:cs="Times New Roman"/>
        </w:rPr>
        <w:t xml:space="preserve">. These networks need to be expanded to better understand the youth’s critical negotiations with Adivasi elders and how these networks reproduce relationalities among people and places in the context of school-going youth who move to cities for education. </w:t>
      </w:r>
    </w:p>
    <w:p w14:paraId="1D022E8D" w14:textId="77777777" w:rsidR="003934E1" w:rsidRDefault="00000000">
      <w:pPr>
        <w:spacing w:before="120" w:after="24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As Adivasi youth are learning to aspire in an economically precarious environment, they are also navigating transformations in their familial and sociocultural identities. Therefore, the elders in the Adivasi </w:t>
      </w:r>
      <w:r>
        <w:rPr>
          <w:rFonts w:ascii="Times New Roman" w:eastAsia="Times New Roman" w:hAnsi="Times New Roman" w:cs="Times New Roman"/>
          <w:i/>
        </w:rPr>
        <w:t xml:space="preserve">samaj </w:t>
      </w:r>
      <w:r>
        <w:rPr>
          <w:rFonts w:ascii="Times New Roman" w:eastAsia="Times New Roman" w:hAnsi="Times New Roman" w:cs="Times New Roman"/>
        </w:rPr>
        <w:t xml:space="preserve">will need to address crucial questions as they strive to mobilise local youth in sociopolitical movements in Bastar. These questions include: What kinds of communities can the Adivasi </w:t>
      </w:r>
      <w:r>
        <w:rPr>
          <w:rFonts w:ascii="Times New Roman" w:eastAsia="Times New Roman" w:hAnsi="Times New Roman" w:cs="Times New Roman"/>
          <w:i/>
        </w:rPr>
        <w:t>samaj</w:t>
      </w:r>
      <w:r>
        <w:rPr>
          <w:rFonts w:ascii="Times New Roman" w:eastAsia="Times New Roman" w:hAnsi="Times New Roman" w:cs="Times New Roman"/>
        </w:rPr>
        <w:t xml:space="preserve"> nurture, based on the shared cultural practices of different Adivasi communities, forms of belonging, and politics? How are these efforts related to the multiple invocations of ‘</w:t>
      </w:r>
      <w:proofErr w:type="spellStart"/>
      <w:r>
        <w:rPr>
          <w:rFonts w:ascii="Times New Roman" w:eastAsia="Times New Roman" w:hAnsi="Times New Roman" w:cs="Times New Roman"/>
        </w:rPr>
        <w:t>Adivasiness</w:t>
      </w:r>
      <w:proofErr w:type="spellEnd"/>
      <w:r>
        <w:rPr>
          <w:rFonts w:ascii="Times New Roman" w:eastAsia="Times New Roman" w:hAnsi="Times New Roman" w:cs="Times New Roman"/>
        </w:rPr>
        <w:t xml:space="preserve">’ and the cultural politics of being an ‘Adivasi’ (Dasgupta, 2018; Rycroft &amp; Dasgupta, 2011)? How do Adivasi youth situate themselves in these attempts to mould communities, relationships with the State, and ways of commonness and groupness? These questions also necessitate future research. </w:t>
      </w:r>
    </w:p>
    <w:p w14:paraId="77C08719" w14:textId="77777777" w:rsidR="003934E1" w:rsidRDefault="00000000">
      <w:pPr>
        <w:spacing w:before="240" w:after="24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Concluding reflections</w:t>
      </w:r>
    </w:p>
    <w:p w14:paraId="300BCCE8"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Throughout our fieldwork encounters, Adivasi youth participants revealed in various ways how the connections between their home villages, families, and sociocultural communities serve as resources for the continually evolving meaning-making processes in their everyday lives within urban contexts. In this paper, which has implications for Adivasi Studies and Tribal Studies, I have argued that these connections are undergoing significant changes due to the lived experiences of school-going Adivasi youth as they navigate the economic uncertainties in Bastar, the volatile sociopolitical environment resulting from </w:t>
      </w:r>
      <w:proofErr w:type="spellStart"/>
      <w:r>
        <w:rPr>
          <w:rFonts w:ascii="Times New Roman" w:eastAsia="Times New Roman" w:hAnsi="Times New Roman" w:cs="Times New Roman"/>
        </w:rPr>
        <w:t>Naxalism</w:t>
      </w:r>
      <w:proofErr w:type="spellEnd"/>
      <w:r>
        <w:rPr>
          <w:rFonts w:ascii="Times New Roman" w:eastAsia="Times New Roman" w:hAnsi="Times New Roman" w:cs="Times New Roman"/>
        </w:rPr>
        <w:t xml:space="preserve">, the changing character of rural livelihoods, mobility between rural and urban areas, and educational opportunities. An important prism for understanding these changes is the aspirational horizons of Adivasi youth. I have illustrated how Adivasi youth are learning to aspire in this current moment. In the process, they are recalibrating their relationships with their home villages and families. Such recalibrations offer an analytical lens to fathom how Adivasi youth are positioning themselves within the efforts of the Adivasi </w:t>
      </w:r>
      <w:r>
        <w:rPr>
          <w:rFonts w:ascii="Times New Roman" w:eastAsia="Times New Roman" w:hAnsi="Times New Roman" w:cs="Times New Roman"/>
          <w:i/>
        </w:rPr>
        <w:t>samaj</w:t>
      </w:r>
      <w:r>
        <w:rPr>
          <w:rFonts w:ascii="Times New Roman" w:eastAsia="Times New Roman" w:hAnsi="Times New Roman" w:cs="Times New Roman"/>
        </w:rPr>
        <w:t xml:space="preserve"> to shape communities and sustain social movements that advocate for the collective rights of Adivasis. </w:t>
      </w:r>
    </w:p>
    <w:p w14:paraId="4FC0BFAA" w14:textId="77777777" w:rsidR="003934E1" w:rsidRDefault="00000000">
      <w:pPr>
        <w:spacing w:after="160" w:line="36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In the coming years, the interplay between people of different generations within the Adivasi </w:t>
      </w:r>
      <w:r>
        <w:rPr>
          <w:rFonts w:ascii="Times New Roman" w:eastAsia="Times New Roman" w:hAnsi="Times New Roman" w:cs="Times New Roman"/>
          <w:i/>
        </w:rPr>
        <w:t>samaj</w:t>
      </w:r>
      <w:r>
        <w:rPr>
          <w:rFonts w:ascii="Times New Roman" w:eastAsia="Times New Roman" w:hAnsi="Times New Roman" w:cs="Times New Roman"/>
        </w:rPr>
        <w:t xml:space="preserve">, the desired meanings Adivasi youth imbue in the physical spaces of their </w:t>
      </w:r>
      <w:r>
        <w:rPr>
          <w:rFonts w:ascii="Times New Roman" w:eastAsia="Times New Roman" w:hAnsi="Times New Roman" w:cs="Times New Roman"/>
        </w:rPr>
        <w:lastRenderedPageBreak/>
        <w:t>villages, and their sustained embeddedness in the cultural practices of the villages will enrich and complicate the ways they foster their aspirational horizons. These ways will further modify how Adivasi youth experience and understand ‘home’ as a location and a set of relational ties. Therefore, through further research, it is essential to engage with the issues surrounding Adivasi youth mobilization and the grassroots efforts related to place-based social movements by Adivasi communities in central India in relation to the youth’s aspirational horizons. These horizons represent the intricate ways in which Adivasi youth are self-identifying, cultivating expectations for a life of dignity and pride, and coming to view themselves and others within their everyday social worlds.</w:t>
      </w:r>
    </w:p>
    <w:p w14:paraId="3085BF5D" w14:textId="77777777" w:rsidR="003934E1" w:rsidRDefault="003934E1">
      <w:pPr>
        <w:spacing w:before="240" w:after="240" w:line="360" w:lineRule="auto"/>
        <w:jc w:val="both"/>
        <w:rPr>
          <w:rFonts w:ascii="Times New Roman" w:eastAsia="Times New Roman" w:hAnsi="Times New Roman" w:cs="Times New Roman"/>
          <w:sz w:val="22"/>
          <w:szCs w:val="22"/>
        </w:rPr>
      </w:pPr>
    </w:p>
    <w:p w14:paraId="160B2E20" w14:textId="77777777" w:rsidR="003934E1" w:rsidRDefault="003934E1">
      <w:pPr>
        <w:spacing w:before="240" w:after="240" w:line="360" w:lineRule="auto"/>
        <w:jc w:val="both"/>
        <w:rPr>
          <w:rFonts w:ascii="Times New Roman" w:eastAsia="Times New Roman" w:hAnsi="Times New Roman" w:cs="Times New Roman"/>
          <w:b/>
        </w:rPr>
      </w:pPr>
    </w:p>
    <w:p w14:paraId="45F54536" w14:textId="77777777" w:rsidR="003934E1" w:rsidRDefault="003934E1">
      <w:pPr>
        <w:spacing w:before="240" w:after="240" w:line="360" w:lineRule="auto"/>
        <w:jc w:val="both"/>
        <w:rPr>
          <w:rFonts w:ascii="Times New Roman" w:eastAsia="Times New Roman" w:hAnsi="Times New Roman" w:cs="Times New Roman"/>
          <w:b/>
        </w:rPr>
      </w:pPr>
    </w:p>
    <w:p w14:paraId="6D6CFC4F" w14:textId="77777777" w:rsidR="003934E1" w:rsidRDefault="003934E1">
      <w:pPr>
        <w:spacing w:before="240" w:after="240" w:line="360" w:lineRule="auto"/>
        <w:jc w:val="both"/>
        <w:rPr>
          <w:rFonts w:ascii="Times New Roman" w:eastAsia="Times New Roman" w:hAnsi="Times New Roman" w:cs="Times New Roman"/>
          <w:b/>
        </w:rPr>
      </w:pPr>
    </w:p>
    <w:p w14:paraId="09185EC9" w14:textId="77777777" w:rsidR="003934E1" w:rsidRDefault="003934E1">
      <w:pPr>
        <w:spacing w:before="240" w:after="240" w:line="360" w:lineRule="auto"/>
        <w:jc w:val="both"/>
        <w:rPr>
          <w:rFonts w:ascii="Times New Roman" w:eastAsia="Times New Roman" w:hAnsi="Times New Roman" w:cs="Times New Roman"/>
          <w:b/>
        </w:rPr>
      </w:pPr>
    </w:p>
    <w:p w14:paraId="06F8F0B5" w14:textId="77777777" w:rsidR="003934E1" w:rsidRDefault="003934E1">
      <w:pPr>
        <w:spacing w:before="240" w:after="240" w:line="360" w:lineRule="auto"/>
        <w:jc w:val="both"/>
        <w:rPr>
          <w:rFonts w:ascii="Times New Roman" w:eastAsia="Times New Roman" w:hAnsi="Times New Roman" w:cs="Times New Roman"/>
          <w:b/>
        </w:rPr>
      </w:pPr>
    </w:p>
    <w:p w14:paraId="1736FF43" w14:textId="77777777" w:rsidR="003934E1" w:rsidRDefault="003934E1">
      <w:pPr>
        <w:spacing w:before="240" w:after="240" w:line="360" w:lineRule="auto"/>
        <w:jc w:val="both"/>
        <w:rPr>
          <w:rFonts w:ascii="Times New Roman" w:eastAsia="Times New Roman" w:hAnsi="Times New Roman" w:cs="Times New Roman"/>
          <w:b/>
        </w:rPr>
      </w:pPr>
    </w:p>
    <w:p w14:paraId="33EB66F6" w14:textId="77777777" w:rsidR="003934E1" w:rsidRDefault="003934E1">
      <w:pPr>
        <w:spacing w:before="240" w:after="240" w:line="360" w:lineRule="auto"/>
        <w:jc w:val="both"/>
        <w:rPr>
          <w:rFonts w:ascii="Times New Roman" w:eastAsia="Times New Roman" w:hAnsi="Times New Roman" w:cs="Times New Roman"/>
          <w:b/>
        </w:rPr>
      </w:pPr>
    </w:p>
    <w:p w14:paraId="68D9B8FE" w14:textId="77777777" w:rsidR="003934E1" w:rsidRDefault="003934E1">
      <w:pPr>
        <w:spacing w:before="240" w:after="240" w:line="360" w:lineRule="auto"/>
        <w:jc w:val="both"/>
        <w:rPr>
          <w:rFonts w:ascii="Times New Roman" w:eastAsia="Times New Roman" w:hAnsi="Times New Roman" w:cs="Times New Roman"/>
          <w:b/>
        </w:rPr>
      </w:pPr>
    </w:p>
    <w:p w14:paraId="039AC903" w14:textId="77777777" w:rsidR="003934E1" w:rsidRDefault="003934E1">
      <w:pPr>
        <w:spacing w:before="240" w:after="240" w:line="360" w:lineRule="auto"/>
        <w:jc w:val="both"/>
        <w:rPr>
          <w:rFonts w:ascii="Times New Roman" w:eastAsia="Times New Roman" w:hAnsi="Times New Roman" w:cs="Times New Roman"/>
          <w:b/>
        </w:rPr>
      </w:pPr>
    </w:p>
    <w:p w14:paraId="641E184F" w14:textId="77777777" w:rsidR="003934E1" w:rsidRDefault="003934E1">
      <w:pPr>
        <w:spacing w:before="240" w:after="240" w:line="360" w:lineRule="auto"/>
        <w:jc w:val="both"/>
        <w:rPr>
          <w:rFonts w:ascii="Times New Roman" w:eastAsia="Times New Roman" w:hAnsi="Times New Roman" w:cs="Times New Roman"/>
          <w:b/>
        </w:rPr>
      </w:pPr>
    </w:p>
    <w:p w14:paraId="71976C95" w14:textId="77777777" w:rsidR="003934E1" w:rsidRDefault="003934E1">
      <w:pPr>
        <w:spacing w:before="240" w:after="240" w:line="360" w:lineRule="auto"/>
        <w:jc w:val="both"/>
        <w:rPr>
          <w:rFonts w:ascii="Times New Roman" w:eastAsia="Times New Roman" w:hAnsi="Times New Roman" w:cs="Times New Roman"/>
          <w:b/>
        </w:rPr>
      </w:pPr>
    </w:p>
    <w:p w14:paraId="592D80D2" w14:textId="77777777" w:rsidR="003934E1" w:rsidRDefault="003934E1">
      <w:pPr>
        <w:spacing w:before="240" w:after="240" w:line="360" w:lineRule="auto"/>
        <w:jc w:val="both"/>
        <w:rPr>
          <w:rFonts w:ascii="Times New Roman" w:eastAsia="Times New Roman" w:hAnsi="Times New Roman" w:cs="Times New Roman"/>
          <w:b/>
        </w:rPr>
      </w:pPr>
    </w:p>
    <w:p w14:paraId="41B3D952" w14:textId="77777777" w:rsidR="003934E1" w:rsidRDefault="00000000">
      <w:pPr>
        <w:spacing w:before="240" w:after="24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Disclaimer on originality: </w:t>
      </w:r>
    </w:p>
    <w:p w14:paraId="2BA5013F"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 xml:space="preserve">This paper represents original research, and I confirm that it has not been published or submitted for publication elsewhere. </w:t>
      </w:r>
    </w:p>
    <w:p w14:paraId="742D9B49" w14:textId="77777777" w:rsidR="003934E1" w:rsidRDefault="00000000">
      <w:pPr>
        <w:spacing w:before="120" w:after="120" w:line="36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Cited References</w:t>
      </w:r>
    </w:p>
    <w:p w14:paraId="14AB31B7"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Basso, K. H. (2004). </w:t>
      </w:r>
      <w:r>
        <w:rPr>
          <w:rFonts w:ascii="Times New Roman" w:eastAsia="Times New Roman" w:hAnsi="Times New Roman" w:cs="Times New Roman"/>
          <w:i/>
        </w:rPr>
        <w:t>Wisdom Sits in Places: Landscape and Language Among the Western Apache</w:t>
      </w:r>
      <w:r>
        <w:rPr>
          <w:rFonts w:ascii="Times New Roman" w:eastAsia="Times New Roman" w:hAnsi="Times New Roman" w:cs="Times New Roman"/>
        </w:rPr>
        <w:t>. University of New Mexico Press.</w:t>
      </w:r>
    </w:p>
    <w:p w14:paraId="069EE611"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Batra, P. (2005). Voice and Agency of Teachers: Missing Link in National Curriculum Framework 2005. </w:t>
      </w:r>
      <w:r>
        <w:rPr>
          <w:rFonts w:ascii="Times New Roman" w:eastAsia="Times New Roman" w:hAnsi="Times New Roman" w:cs="Times New Roman"/>
          <w:i/>
        </w:rPr>
        <w:t>Economic and Political Weekly</w:t>
      </w:r>
      <w:r>
        <w:rPr>
          <w:rFonts w:ascii="Times New Roman" w:eastAsia="Times New Roman" w:hAnsi="Times New Roman" w:cs="Times New Roman"/>
        </w:rPr>
        <w:t xml:space="preserve">, </w:t>
      </w:r>
      <w:r>
        <w:rPr>
          <w:rFonts w:ascii="Times New Roman" w:eastAsia="Times New Roman" w:hAnsi="Times New Roman" w:cs="Times New Roman"/>
          <w:i/>
        </w:rPr>
        <w:t>40</w:t>
      </w:r>
      <w:r>
        <w:rPr>
          <w:rFonts w:ascii="Times New Roman" w:eastAsia="Times New Roman" w:hAnsi="Times New Roman" w:cs="Times New Roman"/>
        </w:rPr>
        <w:t>(40), 4347–4356.</w:t>
      </w:r>
    </w:p>
    <w:p w14:paraId="18ECD094" w14:textId="77777777" w:rsidR="003934E1" w:rsidRDefault="00000000">
      <w:pPr>
        <w:spacing w:before="120" w:after="120" w:line="360" w:lineRule="auto"/>
        <w:ind w:left="567"/>
        <w:jc w:val="both"/>
        <w:rPr>
          <w:rFonts w:ascii="Times New Roman" w:eastAsia="Times New Roman" w:hAnsi="Times New Roman" w:cs="Times New Roman"/>
        </w:rPr>
      </w:pPr>
      <w:proofErr w:type="spellStart"/>
      <w:r>
        <w:rPr>
          <w:rFonts w:ascii="Times New Roman" w:eastAsia="Times New Roman" w:hAnsi="Times New Roman" w:cs="Times New Roman"/>
        </w:rPr>
        <w:t>Béteille</w:t>
      </w:r>
      <w:proofErr w:type="spellEnd"/>
      <w:r>
        <w:rPr>
          <w:rFonts w:ascii="Times New Roman" w:eastAsia="Times New Roman" w:hAnsi="Times New Roman" w:cs="Times New Roman"/>
        </w:rPr>
        <w:t xml:space="preserve">, T. (2009). </w:t>
      </w:r>
      <w:r>
        <w:rPr>
          <w:rFonts w:ascii="Times New Roman" w:eastAsia="Times New Roman" w:hAnsi="Times New Roman" w:cs="Times New Roman"/>
          <w:i/>
        </w:rPr>
        <w:t>Absenteeism, transfers and patronage: The political economy of teacher labour markets in India</w:t>
      </w:r>
      <w:r>
        <w:rPr>
          <w:rFonts w:ascii="Times New Roman" w:eastAsia="Times New Roman" w:hAnsi="Times New Roman" w:cs="Times New Roman"/>
        </w:rPr>
        <w:t xml:space="preserve"> (Doctoral Dissertation, Stanford University). </w:t>
      </w:r>
    </w:p>
    <w:p w14:paraId="500A6C4C"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Bharadwaj, S. (2019). Adivasi struggles in Chhattisgarh: ‘Jal, Jungle, Zameen.’ In V. Sachdeva, Q. Pradhan, &amp; A. Venugopala (Eds.), </w:t>
      </w:r>
      <w:r>
        <w:rPr>
          <w:rFonts w:ascii="Times New Roman" w:eastAsia="Times New Roman" w:hAnsi="Times New Roman" w:cs="Times New Roman"/>
          <w:i/>
        </w:rPr>
        <w:t xml:space="preserve">Identities in South Asia </w:t>
      </w:r>
      <w:r>
        <w:rPr>
          <w:rFonts w:ascii="Times New Roman" w:eastAsia="Times New Roman" w:hAnsi="Times New Roman" w:cs="Times New Roman"/>
        </w:rPr>
        <w:t>(pp. 161-74). Routledge India.</w:t>
      </w:r>
    </w:p>
    <w:p w14:paraId="3AE971BB"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Bhardwaj, A. (2020). </w:t>
      </w:r>
      <w:r>
        <w:rPr>
          <w:rFonts w:ascii="Times New Roman" w:eastAsia="Times New Roman" w:hAnsi="Times New Roman" w:cs="Times New Roman"/>
          <w:i/>
        </w:rPr>
        <w:t>The Death Script: Dreams and Delusions in Naxal Country</w:t>
      </w:r>
      <w:r>
        <w:rPr>
          <w:rFonts w:ascii="Times New Roman" w:eastAsia="Times New Roman" w:hAnsi="Times New Roman" w:cs="Times New Roman"/>
        </w:rPr>
        <w:t>. Fourth Estate India.</w:t>
      </w:r>
    </w:p>
    <w:p w14:paraId="28BCEFC6"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Bowen, Z. (2018). Interacting Circles of Educational Desire in Rural Odisha: Students, schools, state. </w:t>
      </w:r>
      <w:r>
        <w:rPr>
          <w:rFonts w:ascii="Times New Roman" w:eastAsia="Times New Roman" w:hAnsi="Times New Roman" w:cs="Times New Roman"/>
          <w:i/>
        </w:rPr>
        <w:t>Modern Asian Studies</w:t>
      </w:r>
      <w:r>
        <w:rPr>
          <w:rFonts w:ascii="Times New Roman" w:eastAsia="Times New Roman" w:hAnsi="Times New Roman" w:cs="Times New Roman"/>
        </w:rPr>
        <w:t xml:space="preserve">, </w:t>
      </w:r>
      <w:r>
        <w:rPr>
          <w:rFonts w:ascii="Times New Roman" w:eastAsia="Times New Roman" w:hAnsi="Times New Roman" w:cs="Times New Roman"/>
          <w:i/>
        </w:rPr>
        <w:t>52</w:t>
      </w:r>
      <w:r>
        <w:rPr>
          <w:rFonts w:ascii="Times New Roman" w:eastAsia="Times New Roman" w:hAnsi="Times New Roman" w:cs="Times New Roman"/>
        </w:rPr>
        <w:t xml:space="preserve">(5), 1639–1663. </w:t>
      </w:r>
    </w:p>
    <w:p w14:paraId="7347346D"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Carrin, M. (2015). Adivasi children and the making of indigeneity in Jharkhand. </w:t>
      </w:r>
      <w:r>
        <w:rPr>
          <w:rFonts w:ascii="Times New Roman" w:eastAsia="Times New Roman" w:hAnsi="Times New Roman" w:cs="Times New Roman"/>
          <w:i/>
        </w:rPr>
        <w:t>South Asian History and Culture</w:t>
      </w:r>
      <w:r>
        <w:rPr>
          <w:rFonts w:ascii="Times New Roman" w:eastAsia="Times New Roman" w:hAnsi="Times New Roman" w:cs="Times New Roman"/>
        </w:rPr>
        <w:t xml:space="preserve">, </w:t>
      </w:r>
      <w:r>
        <w:rPr>
          <w:rFonts w:ascii="Times New Roman" w:eastAsia="Times New Roman" w:hAnsi="Times New Roman" w:cs="Times New Roman"/>
          <w:i/>
        </w:rPr>
        <w:t>6</w:t>
      </w:r>
      <w:r>
        <w:rPr>
          <w:rFonts w:ascii="Times New Roman" w:eastAsia="Times New Roman" w:hAnsi="Times New Roman" w:cs="Times New Roman"/>
        </w:rPr>
        <w:t xml:space="preserve">(3), 1–17. </w:t>
      </w:r>
    </w:p>
    <w:p w14:paraId="0DB32DF7"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Colombo, E., &amp; </w:t>
      </w:r>
      <w:proofErr w:type="spellStart"/>
      <w:r>
        <w:rPr>
          <w:rFonts w:ascii="Times New Roman" w:eastAsia="Times New Roman" w:hAnsi="Times New Roman" w:cs="Times New Roman"/>
        </w:rPr>
        <w:t>Rebughini</w:t>
      </w:r>
      <w:proofErr w:type="spellEnd"/>
      <w:r>
        <w:rPr>
          <w:rFonts w:ascii="Times New Roman" w:eastAsia="Times New Roman" w:hAnsi="Times New Roman" w:cs="Times New Roman"/>
        </w:rPr>
        <w:t xml:space="preserve">, P. (Eds.). (2019). </w:t>
      </w:r>
      <w:r>
        <w:rPr>
          <w:rFonts w:ascii="Times New Roman" w:eastAsia="Times New Roman" w:hAnsi="Times New Roman" w:cs="Times New Roman"/>
          <w:i/>
        </w:rPr>
        <w:t>Youth and the Politics of the Present: Coping with Complexity and Ambivalence</w:t>
      </w:r>
      <w:r>
        <w:rPr>
          <w:rFonts w:ascii="Times New Roman" w:eastAsia="Times New Roman" w:hAnsi="Times New Roman" w:cs="Times New Roman"/>
        </w:rPr>
        <w:t>. Taylor &amp; Francis.</w:t>
      </w:r>
    </w:p>
    <w:p w14:paraId="2DF713A8"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Dasgupta, S. (2018). Adivasi studies: From a historian’s perspective. </w:t>
      </w:r>
      <w:r>
        <w:rPr>
          <w:rFonts w:ascii="Times New Roman" w:eastAsia="Times New Roman" w:hAnsi="Times New Roman" w:cs="Times New Roman"/>
          <w:i/>
        </w:rPr>
        <w:t>History Compass</w:t>
      </w:r>
      <w:r>
        <w:rPr>
          <w:rFonts w:ascii="Times New Roman" w:eastAsia="Times New Roman" w:hAnsi="Times New Roman" w:cs="Times New Roman"/>
        </w:rPr>
        <w:t xml:space="preserve">, </w:t>
      </w:r>
      <w:r>
        <w:rPr>
          <w:rFonts w:ascii="Times New Roman" w:eastAsia="Times New Roman" w:hAnsi="Times New Roman" w:cs="Times New Roman"/>
          <w:i/>
        </w:rPr>
        <w:t>16</w:t>
      </w:r>
      <w:r>
        <w:rPr>
          <w:rFonts w:ascii="Times New Roman" w:eastAsia="Times New Roman" w:hAnsi="Times New Roman" w:cs="Times New Roman"/>
        </w:rPr>
        <w:t xml:space="preserve">(10), 1-11. </w:t>
      </w:r>
    </w:p>
    <w:p w14:paraId="7AB9CCF9"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Desai, K. (2022). Immaterial Precarity and Affective States of Anticipation: NGO Afterlives of Non-Elite Young Women in Urban India. </w:t>
      </w:r>
      <w:r>
        <w:rPr>
          <w:rFonts w:ascii="Times New Roman" w:eastAsia="Times New Roman" w:hAnsi="Times New Roman" w:cs="Times New Roman"/>
          <w:i/>
        </w:rPr>
        <w:t>Anthropology &amp; Education Quarterly</w:t>
      </w:r>
      <w:r>
        <w:rPr>
          <w:rFonts w:ascii="Times New Roman" w:eastAsia="Times New Roman" w:hAnsi="Times New Roman" w:cs="Times New Roman"/>
        </w:rPr>
        <w:t xml:space="preserve">, </w:t>
      </w:r>
      <w:r>
        <w:rPr>
          <w:rFonts w:ascii="Times New Roman" w:eastAsia="Times New Roman" w:hAnsi="Times New Roman" w:cs="Times New Roman"/>
          <w:i/>
        </w:rPr>
        <w:t>54</w:t>
      </w:r>
      <w:r>
        <w:rPr>
          <w:rFonts w:ascii="Times New Roman" w:eastAsia="Times New Roman" w:hAnsi="Times New Roman" w:cs="Times New Roman"/>
        </w:rPr>
        <w:t xml:space="preserve">(1), 6–21. </w:t>
      </w:r>
    </w:p>
    <w:p w14:paraId="44F96E75"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Dost, A. C., &amp; Froerer, P. (2021). Education, Aspiration and </w:t>
      </w:r>
      <w:proofErr w:type="spellStart"/>
      <w:r>
        <w:rPr>
          <w:rFonts w:ascii="Times New Roman" w:eastAsia="Times New Roman" w:hAnsi="Times New Roman" w:cs="Times New Roman"/>
          <w:i/>
        </w:rPr>
        <w:t>aage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badhna</w:t>
      </w:r>
      <w:proofErr w:type="spellEnd"/>
      <w:r>
        <w:rPr>
          <w:rFonts w:ascii="Times New Roman" w:eastAsia="Times New Roman" w:hAnsi="Times New Roman" w:cs="Times New Roman"/>
        </w:rPr>
        <w:t xml:space="preserve">: The Role of Schooling in Facilitating ‘Forward Movement’ in Rural Chhattisgarh, India. </w:t>
      </w:r>
      <w:r>
        <w:rPr>
          <w:rFonts w:ascii="Times New Roman" w:eastAsia="Times New Roman" w:hAnsi="Times New Roman" w:cs="Times New Roman"/>
          <w:i/>
        </w:rPr>
        <w:t>The European Journal of Development Research</w:t>
      </w:r>
      <w:r>
        <w:rPr>
          <w:rFonts w:ascii="Times New Roman" w:eastAsia="Times New Roman" w:hAnsi="Times New Roman" w:cs="Times New Roman"/>
        </w:rPr>
        <w:t xml:space="preserve">, </w:t>
      </w:r>
      <w:r>
        <w:rPr>
          <w:rFonts w:ascii="Times New Roman" w:eastAsia="Times New Roman" w:hAnsi="Times New Roman" w:cs="Times New Roman"/>
          <w:i/>
        </w:rPr>
        <w:t>33</w:t>
      </w:r>
      <w:r>
        <w:rPr>
          <w:rFonts w:ascii="Times New Roman" w:eastAsia="Times New Roman" w:hAnsi="Times New Roman" w:cs="Times New Roman"/>
        </w:rPr>
        <w:t xml:space="preserve">(1), 109–129. </w:t>
      </w:r>
    </w:p>
    <w:p w14:paraId="300F5E0A"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Froerer, P. (2015). Adivasi young people and the risk of education in rural Chhattisgarh. </w:t>
      </w:r>
      <w:r>
        <w:rPr>
          <w:rFonts w:ascii="Times New Roman" w:eastAsia="Times New Roman" w:hAnsi="Times New Roman" w:cs="Times New Roman"/>
          <w:i/>
        </w:rPr>
        <w:t>South Asian History and Culture</w:t>
      </w:r>
      <w:r>
        <w:rPr>
          <w:rFonts w:ascii="Times New Roman" w:eastAsia="Times New Roman" w:hAnsi="Times New Roman" w:cs="Times New Roman"/>
        </w:rPr>
        <w:t xml:space="preserve">, </w:t>
      </w:r>
      <w:r>
        <w:rPr>
          <w:rFonts w:ascii="Times New Roman" w:eastAsia="Times New Roman" w:hAnsi="Times New Roman" w:cs="Times New Roman"/>
          <w:i/>
        </w:rPr>
        <w:t>6</w:t>
      </w:r>
      <w:r>
        <w:rPr>
          <w:rFonts w:ascii="Times New Roman" w:eastAsia="Times New Roman" w:hAnsi="Times New Roman" w:cs="Times New Roman"/>
        </w:rPr>
        <w:t xml:space="preserve">(3), 365–379. </w:t>
      </w:r>
    </w:p>
    <w:p w14:paraId="58976FD0"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lastRenderedPageBreak/>
        <w:t xml:space="preserve">Froerer, P., Ansell N., &amp; </w:t>
      </w:r>
      <w:proofErr w:type="spellStart"/>
      <w:r>
        <w:rPr>
          <w:rFonts w:ascii="Times New Roman" w:eastAsia="Times New Roman" w:hAnsi="Times New Roman" w:cs="Times New Roman"/>
        </w:rPr>
        <w:t>Huijsmans</w:t>
      </w:r>
      <w:proofErr w:type="spellEnd"/>
      <w:r>
        <w:rPr>
          <w:rFonts w:ascii="Times New Roman" w:eastAsia="Times New Roman" w:hAnsi="Times New Roman" w:cs="Times New Roman"/>
        </w:rPr>
        <w:t xml:space="preserve">, R. (2022). Sacrifice, suffering and hope: Education, aspiration and young people’s affective orientations to the future. </w:t>
      </w:r>
      <w:r>
        <w:rPr>
          <w:rFonts w:ascii="Times New Roman" w:eastAsia="Times New Roman" w:hAnsi="Times New Roman" w:cs="Times New Roman"/>
          <w:i/>
        </w:rPr>
        <w:t>Ethnography and Education</w:t>
      </w:r>
      <w:r>
        <w:rPr>
          <w:rFonts w:ascii="Times New Roman" w:eastAsia="Times New Roman" w:hAnsi="Times New Roman" w:cs="Times New Roman"/>
        </w:rPr>
        <w:t xml:space="preserve">, </w:t>
      </w:r>
      <w:r>
        <w:rPr>
          <w:rFonts w:ascii="Times New Roman" w:eastAsia="Times New Roman" w:hAnsi="Times New Roman" w:cs="Times New Roman"/>
          <w:i/>
        </w:rPr>
        <w:t>17</w:t>
      </w:r>
      <w:r>
        <w:rPr>
          <w:rFonts w:ascii="Times New Roman" w:eastAsia="Times New Roman" w:hAnsi="Times New Roman" w:cs="Times New Roman"/>
        </w:rPr>
        <w:t xml:space="preserve">(3), 179–185. </w:t>
      </w:r>
    </w:p>
    <w:p w14:paraId="44A951A8"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Hinmon, A. (2007). Forgeries in Steel: We Also Make Poverty. In R. </w:t>
      </w:r>
      <w:proofErr w:type="spellStart"/>
      <w:r>
        <w:rPr>
          <w:rFonts w:ascii="Times New Roman" w:eastAsia="Times New Roman" w:hAnsi="Times New Roman" w:cs="Times New Roman"/>
        </w:rPr>
        <w:t>Kalshian</w:t>
      </w:r>
      <w:proofErr w:type="spellEnd"/>
      <w:r>
        <w:rPr>
          <w:rFonts w:ascii="Times New Roman" w:eastAsia="Times New Roman" w:hAnsi="Times New Roman" w:cs="Times New Roman"/>
        </w:rPr>
        <w:t xml:space="preserve"> (Ed.), </w:t>
      </w:r>
      <w:r>
        <w:rPr>
          <w:rFonts w:ascii="Times New Roman" w:eastAsia="Times New Roman" w:hAnsi="Times New Roman" w:cs="Times New Roman"/>
          <w:i/>
        </w:rPr>
        <w:t xml:space="preserve">Caterpillar and the mahua flower: Tremors in India’s mining fields </w:t>
      </w:r>
      <w:r>
        <w:rPr>
          <w:rFonts w:ascii="Times New Roman" w:eastAsia="Times New Roman" w:hAnsi="Times New Roman" w:cs="Times New Roman"/>
        </w:rPr>
        <w:t xml:space="preserve">(pp. 124-39). Panos South Asia. </w:t>
      </w:r>
    </w:p>
    <w:p w14:paraId="2EAE84BB" w14:textId="77777777" w:rsidR="003934E1" w:rsidRDefault="00000000">
      <w:pPr>
        <w:spacing w:before="120" w:after="120" w:line="360" w:lineRule="auto"/>
        <w:ind w:left="567"/>
        <w:jc w:val="both"/>
        <w:rPr>
          <w:rFonts w:ascii="Times New Roman" w:eastAsia="Times New Roman" w:hAnsi="Times New Roman" w:cs="Times New Roman"/>
        </w:rPr>
      </w:pPr>
      <w:proofErr w:type="spellStart"/>
      <w:r>
        <w:rPr>
          <w:rFonts w:ascii="Times New Roman" w:eastAsia="Times New Roman" w:hAnsi="Times New Roman" w:cs="Times New Roman"/>
        </w:rPr>
        <w:t>Huijsmans</w:t>
      </w:r>
      <w:proofErr w:type="spellEnd"/>
      <w:r>
        <w:rPr>
          <w:rFonts w:ascii="Times New Roman" w:eastAsia="Times New Roman" w:hAnsi="Times New Roman" w:cs="Times New Roman"/>
        </w:rPr>
        <w:t xml:space="preserve">, R., Ansell, N., &amp; Froerer, P. (2020). Introduction: Development, Young People, and the Social Production of Aspirations. </w:t>
      </w:r>
      <w:r>
        <w:rPr>
          <w:rFonts w:ascii="Times New Roman" w:eastAsia="Times New Roman" w:hAnsi="Times New Roman" w:cs="Times New Roman"/>
          <w:i/>
        </w:rPr>
        <w:t>The European Journal of Development Research</w:t>
      </w:r>
      <w:r>
        <w:rPr>
          <w:rFonts w:ascii="Times New Roman" w:eastAsia="Times New Roman" w:hAnsi="Times New Roman" w:cs="Times New Roman"/>
        </w:rPr>
        <w:t xml:space="preserve">, </w:t>
      </w:r>
      <w:r>
        <w:rPr>
          <w:rFonts w:ascii="Times New Roman" w:eastAsia="Times New Roman" w:hAnsi="Times New Roman" w:cs="Times New Roman"/>
          <w:i/>
        </w:rPr>
        <w:t>33</w:t>
      </w:r>
      <w:r>
        <w:rPr>
          <w:rFonts w:ascii="Times New Roman" w:eastAsia="Times New Roman" w:hAnsi="Times New Roman" w:cs="Times New Roman"/>
        </w:rPr>
        <w:t>(1), 1–15.</w:t>
      </w:r>
    </w:p>
    <w:p w14:paraId="7826C695"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Jeffrey, C. (2010). </w:t>
      </w:r>
      <w:r>
        <w:rPr>
          <w:rFonts w:ascii="Times New Roman" w:eastAsia="Times New Roman" w:hAnsi="Times New Roman" w:cs="Times New Roman"/>
          <w:i/>
        </w:rPr>
        <w:t>Timepass: Youth, Class, and the Politics of Waiting in India</w:t>
      </w:r>
      <w:r>
        <w:rPr>
          <w:rFonts w:ascii="Times New Roman" w:eastAsia="Times New Roman" w:hAnsi="Times New Roman" w:cs="Times New Roman"/>
        </w:rPr>
        <w:t>. Stanford University Press.</w:t>
      </w:r>
    </w:p>
    <w:p w14:paraId="029D3B5E"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Jojo, B. (2013). Decline of Ashram Schools in Central and Eastern India: Impact on Education of ST Children. </w:t>
      </w:r>
      <w:r>
        <w:rPr>
          <w:rFonts w:ascii="Times New Roman" w:eastAsia="Times New Roman" w:hAnsi="Times New Roman" w:cs="Times New Roman"/>
          <w:i/>
        </w:rPr>
        <w:t>Social Change</w:t>
      </w:r>
      <w:r>
        <w:rPr>
          <w:rFonts w:ascii="Times New Roman" w:eastAsia="Times New Roman" w:hAnsi="Times New Roman" w:cs="Times New Roman"/>
        </w:rPr>
        <w:t xml:space="preserve">, </w:t>
      </w:r>
      <w:r>
        <w:rPr>
          <w:rFonts w:ascii="Times New Roman" w:eastAsia="Times New Roman" w:hAnsi="Times New Roman" w:cs="Times New Roman"/>
          <w:i/>
        </w:rPr>
        <w:t>43</w:t>
      </w:r>
      <w:r>
        <w:rPr>
          <w:rFonts w:ascii="Times New Roman" w:eastAsia="Times New Roman" w:hAnsi="Times New Roman" w:cs="Times New Roman"/>
        </w:rPr>
        <w:t xml:space="preserve">(3), 377–395. </w:t>
      </w:r>
    </w:p>
    <w:p w14:paraId="64FB3493"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Kremer, M., Chaudhury, N., Rogers, F. H., Muralidharan, K., &amp; Hammer, J. (2005). Teacher Absence in India: A Snapshot. </w:t>
      </w:r>
      <w:r>
        <w:rPr>
          <w:rFonts w:ascii="Times New Roman" w:eastAsia="Times New Roman" w:hAnsi="Times New Roman" w:cs="Times New Roman"/>
          <w:i/>
        </w:rPr>
        <w:t>Journal of the European Economic Association</w:t>
      </w:r>
      <w:r>
        <w:rPr>
          <w:rFonts w:ascii="Times New Roman" w:eastAsia="Times New Roman" w:hAnsi="Times New Roman" w:cs="Times New Roman"/>
        </w:rPr>
        <w:t xml:space="preserve">, </w:t>
      </w:r>
      <w:r>
        <w:rPr>
          <w:rFonts w:ascii="Times New Roman" w:eastAsia="Times New Roman" w:hAnsi="Times New Roman" w:cs="Times New Roman"/>
          <w:i/>
        </w:rPr>
        <w:t>3</w:t>
      </w:r>
      <w:r>
        <w:rPr>
          <w:rFonts w:ascii="Times New Roman" w:eastAsia="Times New Roman" w:hAnsi="Times New Roman" w:cs="Times New Roman"/>
        </w:rPr>
        <w:t>(2-3), 658–667.</w:t>
      </w:r>
    </w:p>
    <w:p w14:paraId="141CEAC9"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Kumar, K., &amp; Kerr, J. (2012). Democratic Assertions: The Making of India’s Recognition of Forest Rights Act. </w:t>
      </w:r>
      <w:r>
        <w:rPr>
          <w:rFonts w:ascii="Times New Roman" w:eastAsia="Times New Roman" w:hAnsi="Times New Roman" w:cs="Times New Roman"/>
          <w:i/>
        </w:rPr>
        <w:t>Development and Change</w:t>
      </w:r>
      <w:r>
        <w:rPr>
          <w:rFonts w:ascii="Times New Roman" w:eastAsia="Times New Roman" w:hAnsi="Times New Roman" w:cs="Times New Roman"/>
        </w:rPr>
        <w:t xml:space="preserve">, </w:t>
      </w:r>
      <w:r>
        <w:rPr>
          <w:rFonts w:ascii="Times New Roman" w:eastAsia="Times New Roman" w:hAnsi="Times New Roman" w:cs="Times New Roman"/>
          <w:i/>
        </w:rPr>
        <w:t>43</w:t>
      </w:r>
      <w:r>
        <w:rPr>
          <w:rFonts w:ascii="Times New Roman" w:eastAsia="Times New Roman" w:hAnsi="Times New Roman" w:cs="Times New Roman"/>
        </w:rPr>
        <w:t xml:space="preserve">(3), 751–771. </w:t>
      </w:r>
    </w:p>
    <w:p w14:paraId="3467E368" w14:textId="77777777" w:rsidR="003934E1" w:rsidRDefault="00000000">
      <w:pPr>
        <w:shd w:val="clear" w:color="auto" w:fill="FFFFFF"/>
        <w:spacing w:before="240"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Kumari, R. (2023, December 1). </w:t>
      </w:r>
      <w:r>
        <w:rPr>
          <w:rFonts w:ascii="Times New Roman" w:eastAsia="Times New Roman" w:hAnsi="Times New Roman" w:cs="Times New Roman"/>
          <w:i/>
        </w:rPr>
        <w:t>Why Bastar’s Young Adivasi Women Struggle For A University Education</w:t>
      </w:r>
      <w:r>
        <w:rPr>
          <w:rFonts w:ascii="Times New Roman" w:eastAsia="Times New Roman" w:hAnsi="Times New Roman" w:cs="Times New Roman"/>
        </w:rPr>
        <w:t xml:space="preserve">. Behan Box. </w:t>
      </w:r>
      <w:hyperlink r:id="rId63">
        <w:r w:rsidR="003934E1">
          <w:rPr>
            <w:rFonts w:ascii="Times New Roman" w:eastAsia="Times New Roman" w:hAnsi="Times New Roman" w:cs="Times New Roman"/>
            <w:u w:val="single"/>
          </w:rPr>
          <w:t>https://behanbox.com/2023/12/01/why-bastars-young-adivasi-women-struggle-for-a-university-education/</w:t>
        </w:r>
      </w:hyperlink>
    </w:p>
    <w:p w14:paraId="108BE413"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Low, S. (2017). </w:t>
      </w:r>
      <w:r>
        <w:rPr>
          <w:rFonts w:ascii="Times New Roman" w:eastAsia="Times New Roman" w:hAnsi="Times New Roman" w:cs="Times New Roman"/>
          <w:i/>
        </w:rPr>
        <w:t>Spatializing Culture: The Ethnography of Space and Place</w:t>
      </w:r>
      <w:r>
        <w:rPr>
          <w:rFonts w:ascii="Times New Roman" w:eastAsia="Times New Roman" w:hAnsi="Times New Roman" w:cs="Times New Roman"/>
        </w:rPr>
        <w:t>. Routledge.</w:t>
      </w:r>
    </w:p>
    <w:p w14:paraId="61B977D4"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Mahana, R. (2019). </w:t>
      </w:r>
      <w:r>
        <w:rPr>
          <w:rFonts w:ascii="Times New Roman" w:eastAsia="Times New Roman" w:hAnsi="Times New Roman" w:cs="Times New Roman"/>
          <w:i/>
        </w:rPr>
        <w:t>Negotiating Marginality: Conflicts over Tribal Development in India</w:t>
      </w:r>
      <w:r>
        <w:rPr>
          <w:rFonts w:ascii="Times New Roman" w:eastAsia="Times New Roman" w:hAnsi="Times New Roman" w:cs="Times New Roman"/>
        </w:rPr>
        <w:t>. Routledge.</w:t>
      </w:r>
    </w:p>
    <w:p w14:paraId="2336F26F"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Maithreyi, R., Prabha, K., &amp; Viknesh, A. (2022). Decontextualized schooling and (child) development: Adivasi communities’ negotiations of early childhood care and education and schooling provisions in India. </w:t>
      </w:r>
      <w:r>
        <w:rPr>
          <w:rFonts w:ascii="Times New Roman" w:eastAsia="Times New Roman" w:hAnsi="Times New Roman" w:cs="Times New Roman"/>
          <w:i/>
        </w:rPr>
        <w:t>Children’s Geographies</w:t>
      </w:r>
      <w:r>
        <w:rPr>
          <w:rFonts w:ascii="Times New Roman" w:eastAsia="Times New Roman" w:hAnsi="Times New Roman" w:cs="Times New Roman"/>
        </w:rPr>
        <w:t xml:space="preserve">, </w:t>
      </w:r>
      <w:r>
        <w:rPr>
          <w:rFonts w:ascii="Times New Roman" w:eastAsia="Times New Roman" w:hAnsi="Times New Roman" w:cs="Times New Roman"/>
          <w:i/>
        </w:rPr>
        <w:t>20</w:t>
      </w:r>
      <w:r>
        <w:rPr>
          <w:rFonts w:ascii="Times New Roman" w:eastAsia="Times New Roman" w:hAnsi="Times New Roman" w:cs="Times New Roman"/>
        </w:rPr>
        <w:t xml:space="preserve">(6), 774–787. </w:t>
      </w:r>
    </w:p>
    <w:p w14:paraId="0DFF4DD1" w14:textId="77777777" w:rsidR="003934E1" w:rsidRDefault="00000000">
      <w:pPr>
        <w:shd w:val="clear" w:color="auto" w:fill="FFFFFF"/>
        <w:spacing w:before="240"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lastRenderedPageBreak/>
        <w:t xml:space="preserve">Massey, D. (1993). Power Geometry and a Progressive Sense of Place. In J. Bird, B. Curtis, T. Putnam, G. Robertson &amp; L. Tickner (Eds.), </w:t>
      </w:r>
      <w:r>
        <w:rPr>
          <w:rFonts w:ascii="Times New Roman" w:eastAsia="Times New Roman" w:hAnsi="Times New Roman" w:cs="Times New Roman"/>
          <w:i/>
        </w:rPr>
        <w:t>Mapping the Futures: Local Cultures, Global Change</w:t>
      </w:r>
      <w:r>
        <w:rPr>
          <w:rFonts w:ascii="Times New Roman" w:eastAsia="Times New Roman" w:hAnsi="Times New Roman" w:cs="Times New Roman"/>
        </w:rPr>
        <w:t xml:space="preserve"> (pp. 59–69). London: Routledge. </w:t>
      </w:r>
    </w:p>
    <w:p w14:paraId="1658F4F7"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Mathew, L., &amp; Lukose, R. (2020). Pedagogies of Aspiration: Anthropological Perspectives on Education in Liberalising India. </w:t>
      </w:r>
      <w:r>
        <w:rPr>
          <w:rFonts w:ascii="Times New Roman" w:eastAsia="Times New Roman" w:hAnsi="Times New Roman" w:cs="Times New Roman"/>
          <w:i/>
        </w:rPr>
        <w:t>South Asia: Journal of South Asian Studies</w:t>
      </w:r>
      <w:r>
        <w:rPr>
          <w:rFonts w:ascii="Times New Roman" w:eastAsia="Times New Roman" w:hAnsi="Times New Roman" w:cs="Times New Roman"/>
        </w:rPr>
        <w:t xml:space="preserve">, </w:t>
      </w:r>
      <w:r>
        <w:rPr>
          <w:rFonts w:ascii="Times New Roman" w:eastAsia="Times New Roman" w:hAnsi="Times New Roman" w:cs="Times New Roman"/>
          <w:i/>
        </w:rPr>
        <w:t>43</w:t>
      </w:r>
      <w:r>
        <w:rPr>
          <w:rFonts w:ascii="Times New Roman" w:eastAsia="Times New Roman" w:hAnsi="Times New Roman" w:cs="Times New Roman"/>
        </w:rPr>
        <w:t xml:space="preserve">(4), 691–704. </w:t>
      </w:r>
    </w:p>
    <w:p w14:paraId="6DBA5762"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Meloni, F. (2019). The Ambivalence of Belonging: The Impact of Illegality on the Social Belonging of Undocumented Youth. </w:t>
      </w:r>
      <w:r>
        <w:rPr>
          <w:rFonts w:ascii="Times New Roman" w:eastAsia="Times New Roman" w:hAnsi="Times New Roman" w:cs="Times New Roman"/>
          <w:i/>
        </w:rPr>
        <w:t>Anthropological Quarterly</w:t>
      </w:r>
      <w:r>
        <w:rPr>
          <w:rFonts w:ascii="Times New Roman" w:eastAsia="Times New Roman" w:hAnsi="Times New Roman" w:cs="Times New Roman"/>
        </w:rPr>
        <w:t xml:space="preserve">, </w:t>
      </w:r>
      <w:r>
        <w:rPr>
          <w:rFonts w:ascii="Times New Roman" w:eastAsia="Times New Roman" w:hAnsi="Times New Roman" w:cs="Times New Roman"/>
          <w:i/>
        </w:rPr>
        <w:t>92</w:t>
      </w:r>
      <w:r>
        <w:rPr>
          <w:rFonts w:ascii="Times New Roman" w:eastAsia="Times New Roman" w:hAnsi="Times New Roman" w:cs="Times New Roman"/>
        </w:rPr>
        <w:t>(2), 451–479.</w:t>
      </w:r>
    </w:p>
    <w:p w14:paraId="20B73886"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Morris, E.M., &amp; Adjei, M. (2021). First Generation Students Navigating Educational Aspirations in Zanzibar and Ghana. In A. Cooper, S. Swartz, C.M. Batan &amp; L.K. Causa (Eds.), </w:t>
      </w:r>
      <w:r>
        <w:rPr>
          <w:rFonts w:ascii="Times New Roman" w:eastAsia="Times New Roman" w:hAnsi="Times New Roman" w:cs="Times New Roman"/>
          <w:i/>
        </w:rPr>
        <w:t>The Oxford Handbook of Global South Youth Studies</w:t>
      </w:r>
      <w:r>
        <w:rPr>
          <w:rFonts w:ascii="Times New Roman" w:eastAsia="Times New Roman" w:hAnsi="Times New Roman" w:cs="Times New Roman"/>
        </w:rPr>
        <w:t xml:space="preserve"> (pp. 419-432). Oxford University Press. </w:t>
      </w:r>
    </w:p>
    <w:p w14:paraId="30003224"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Morrow, V. (2013). Whose Values? Young People’s Aspirations and Experiences of Schooling in Andhra Pradesh, India. </w:t>
      </w:r>
      <w:r>
        <w:rPr>
          <w:rFonts w:ascii="Times New Roman" w:eastAsia="Times New Roman" w:hAnsi="Times New Roman" w:cs="Times New Roman"/>
          <w:i/>
        </w:rPr>
        <w:t>Children &amp; Society</w:t>
      </w:r>
      <w:r>
        <w:rPr>
          <w:rFonts w:ascii="Times New Roman" w:eastAsia="Times New Roman" w:hAnsi="Times New Roman" w:cs="Times New Roman"/>
        </w:rPr>
        <w:t xml:space="preserve">, </w:t>
      </w:r>
      <w:r>
        <w:rPr>
          <w:rFonts w:ascii="Times New Roman" w:eastAsia="Times New Roman" w:hAnsi="Times New Roman" w:cs="Times New Roman"/>
          <w:i/>
        </w:rPr>
        <w:t>27</w:t>
      </w:r>
      <w:r>
        <w:rPr>
          <w:rFonts w:ascii="Times New Roman" w:eastAsia="Times New Roman" w:hAnsi="Times New Roman" w:cs="Times New Roman"/>
        </w:rPr>
        <w:t xml:space="preserve">(4), 258–269. </w:t>
      </w:r>
    </w:p>
    <w:p w14:paraId="1290512B"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Navlakha, G., &amp; Gupta, A. (2009). The Real Divide in Bastar. </w:t>
      </w:r>
      <w:r>
        <w:rPr>
          <w:rFonts w:ascii="Times New Roman" w:eastAsia="Times New Roman" w:hAnsi="Times New Roman" w:cs="Times New Roman"/>
          <w:i/>
        </w:rPr>
        <w:t>Economic and Political Weekly</w:t>
      </w:r>
      <w:r>
        <w:rPr>
          <w:rFonts w:ascii="Times New Roman" w:eastAsia="Times New Roman" w:hAnsi="Times New Roman" w:cs="Times New Roman"/>
        </w:rPr>
        <w:t xml:space="preserve">, </w:t>
      </w:r>
      <w:r>
        <w:rPr>
          <w:rFonts w:ascii="Times New Roman" w:eastAsia="Times New Roman" w:hAnsi="Times New Roman" w:cs="Times New Roman"/>
          <w:i/>
        </w:rPr>
        <w:t>44</w:t>
      </w:r>
      <w:r>
        <w:rPr>
          <w:rFonts w:ascii="Times New Roman" w:eastAsia="Times New Roman" w:hAnsi="Times New Roman" w:cs="Times New Roman"/>
        </w:rPr>
        <w:t>(33), 20–23.</w:t>
      </w:r>
    </w:p>
    <w:p w14:paraId="45869A0A"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Nayak, K. V., &amp; Kumar, R. (2022). In Pursuit of Education: Why Some Tribal Girls Continue and Others Dropout of Schools in Rural India? </w:t>
      </w:r>
      <w:r>
        <w:rPr>
          <w:rFonts w:ascii="Times New Roman" w:eastAsia="Times New Roman" w:hAnsi="Times New Roman" w:cs="Times New Roman"/>
          <w:i/>
        </w:rPr>
        <w:t>Journal of Human Values</w:t>
      </w:r>
      <w:r>
        <w:rPr>
          <w:rFonts w:ascii="Times New Roman" w:eastAsia="Times New Roman" w:hAnsi="Times New Roman" w:cs="Times New Roman"/>
        </w:rPr>
        <w:t xml:space="preserve">, </w:t>
      </w:r>
      <w:r>
        <w:rPr>
          <w:rFonts w:ascii="Times New Roman" w:eastAsia="Times New Roman" w:hAnsi="Times New Roman" w:cs="Times New Roman"/>
          <w:i/>
        </w:rPr>
        <w:t>28</w:t>
      </w:r>
      <w:r>
        <w:rPr>
          <w:rFonts w:ascii="Times New Roman" w:eastAsia="Times New Roman" w:hAnsi="Times New Roman" w:cs="Times New Roman"/>
        </w:rPr>
        <w:t xml:space="preserve">(2), 129–142. </w:t>
      </w:r>
    </w:p>
    <w:p w14:paraId="57D04D0B"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Oskarsson, P., &amp; Sareen, S. (2020). </w:t>
      </w:r>
      <w:proofErr w:type="spellStart"/>
      <w:r>
        <w:rPr>
          <w:rFonts w:ascii="Times New Roman" w:eastAsia="Times New Roman" w:hAnsi="Times New Roman" w:cs="Times New Roman"/>
        </w:rPr>
        <w:t>Adivasiness</w:t>
      </w:r>
      <w:proofErr w:type="spellEnd"/>
      <w:r>
        <w:rPr>
          <w:rFonts w:ascii="Times New Roman" w:eastAsia="Times New Roman" w:hAnsi="Times New Roman" w:cs="Times New Roman"/>
        </w:rPr>
        <w:t xml:space="preserve"> as Caste Expression and Land Rights Claim-Making in Central-Eastern India. </w:t>
      </w:r>
      <w:r>
        <w:rPr>
          <w:rFonts w:ascii="Times New Roman" w:eastAsia="Times New Roman" w:hAnsi="Times New Roman" w:cs="Times New Roman"/>
          <w:i/>
        </w:rPr>
        <w:t>Journal of Contemporary Asia</w:t>
      </w:r>
      <w:r>
        <w:rPr>
          <w:rFonts w:ascii="Times New Roman" w:eastAsia="Times New Roman" w:hAnsi="Times New Roman" w:cs="Times New Roman"/>
        </w:rPr>
        <w:t xml:space="preserve">, </w:t>
      </w:r>
      <w:r>
        <w:rPr>
          <w:rFonts w:ascii="Times New Roman" w:eastAsia="Times New Roman" w:hAnsi="Times New Roman" w:cs="Times New Roman"/>
          <w:i/>
        </w:rPr>
        <w:t>50</w:t>
      </w:r>
      <w:r>
        <w:rPr>
          <w:rFonts w:ascii="Times New Roman" w:eastAsia="Times New Roman" w:hAnsi="Times New Roman" w:cs="Times New Roman"/>
        </w:rPr>
        <w:t xml:space="preserve">(5), 831–847. </w:t>
      </w:r>
    </w:p>
    <w:p w14:paraId="6D288FE9"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Pandita, R. (2011). </w:t>
      </w:r>
      <w:r>
        <w:rPr>
          <w:rFonts w:ascii="Times New Roman" w:eastAsia="Times New Roman" w:hAnsi="Times New Roman" w:cs="Times New Roman"/>
          <w:i/>
        </w:rPr>
        <w:t>Hello Bastar: The Untold Story Of India’s Maoist Movement</w:t>
      </w:r>
      <w:r>
        <w:rPr>
          <w:rFonts w:ascii="Times New Roman" w:eastAsia="Times New Roman" w:hAnsi="Times New Roman" w:cs="Times New Roman"/>
        </w:rPr>
        <w:t>. Tranquebar Press.</w:t>
      </w:r>
    </w:p>
    <w:p w14:paraId="4825D395"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Porter, G., Hampshire, K., </w:t>
      </w:r>
      <w:proofErr w:type="spellStart"/>
      <w:r>
        <w:rPr>
          <w:rFonts w:ascii="Times New Roman" w:eastAsia="Times New Roman" w:hAnsi="Times New Roman" w:cs="Times New Roman"/>
        </w:rPr>
        <w:t>Abane</w:t>
      </w:r>
      <w:proofErr w:type="spellEnd"/>
      <w:r>
        <w:rPr>
          <w:rFonts w:ascii="Times New Roman" w:eastAsia="Times New Roman" w:hAnsi="Times New Roman" w:cs="Times New Roman"/>
        </w:rPr>
        <w:t xml:space="preserve">, A., Robson, E., Munthali, A., &amp; </w:t>
      </w:r>
      <w:proofErr w:type="spellStart"/>
      <w:r>
        <w:rPr>
          <w:rFonts w:ascii="Times New Roman" w:eastAsia="Times New Roman" w:hAnsi="Times New Roman" w:cs="Times New Roman"/>
        </w:rPr>
        <w:t>Tanle</w:t>
      </w:r>
      <w:proofErr w:type="spellEnd"/>
      <w:r>
        <w:rPr>
          <w:rFonts w:ascii="Times New Roman" w:eastAsia="Times New Roman" w:hAnsi="Times New Roman" w:cs="Times New Roman"/>
        </w:rPr>
        <w:t xml:space="preserve">, A. (2010). Moving Young Lives: Mobility, Immobility and Inter-Generational Tensions in Urban Africa. </w:t>
      </w:r>
      <w:proofErr w:type="spellStart"/>
      <w:r>
        <w:rPr>
          <w:rFonts w:ascii="Times New Roman" w:eastAsia="Times New Roman" w:hAnsi="Times New Roman" w:cs="Times New Roman"/>
          <w:i/>
        </w:rPr>
        <w:t>Geoforum</w:t>
      </w:r>
      <w:proofErr w:type="spellEnd"/>
      <w:r>
        <w:rPr>
          <w:rFonts w:ascii="Times New Roman" w:eastAsia="Times New Roman" w:hAnsi="Times New Roman" w:cs="Times New Roman"/>
        </w:rPr>
        <w:t xml:space="preserve">, </w:t>
      </w:r>
      <w:r>
        <w:rPr>
          <w:rFonts w:ascii="Times New Roman" w:eastAsia="Times New Roman" w:hAnsi="Times New Roman" w:cs="Times New Roman"/>
          <w:i/>
        </w:rPr>
        <w:t>41</w:t>
      </w:r>
      <w:r>
        <w:rPr>
          <w:rFonts w:ascii="Times New Roman" w:eastAsia="Times New Roman" w:hAnsi="Times New Roman" w:cs="Times New Roman"/>
        </w:rPr>
        <w:t xml:space="preserve">(5), 796–804. </w:t>
      </w:r>
    </w:p>
    <w:p w14:paraId="6E32D138"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Priyam, M. (2024). Bounded aspirations and youth capacity: Interrogating public higher education in North India. </w:t>
      </w:r>
      <w:r>
        <w:rPr>
          <w:rFonts w:ascii="Times New Roman" w:eastAsia="Times New Roman" w:hAnsi="Times New Roman" w:cs="Times New Roman"/>
          <w:i/>
        </w:rPr>
        <w:t>South Asian History and Culture</w:t>
      </w:r>
      <w:r>
        <w:rPr>
          <w:rFonts w:ascii="Times New Roman" w:eastAsia="Times New Roman" w:hAnsi="Times New Roman" w:cs="Times New Roman"/>
        </w:rPr>
        <w:t xml:space="preserve">, </w:t>
      </w:r>
      <w:r>
        <w:rPr>
          <w:rFonts w:ascii="Times New Roman" w:eastAsia="Times New Roman" w:hAnsi="Times New Roman" w:cs="Times New Roman"/>
          <w:i/>
        </w:rPr>
        <w:t>15</w:t>
      </w:r>
      <w:r>
        <w:rPr>
          <w:rFonts w:ascii="Times New Roman" w:eastAsia="Times New Roman" w:hAnsi="Times New Roman" w:cs="Times New Roman"/>
        </w:rPr>
        <w:t xml:space="preserve">(2), 215–230. </w:t>
      </w:r>
    </w:p>
    <w:p w14:paraId="2E91463C"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Putul, A.P. (2007). No Man’s Land. In R. </w:t>
      </w:r>
      <w:proofErr w:type="spellStart"/>
      <w:r>
        <w:rPr>
          <w:rFonts w:ascii="Times New Roman" w:eastAsia="Times New Roman" w:hAnsi="Times New Roman" w:cs="Times New Roman"/>
        </w:rPr>
        <w:t>Kalshian</w:t>
      </w:r>
      <w:proofErr w:type="spellEnd"/>
      <w:r>
        <w:rPr>
          <w:rFonts w:ascii="Times New Roman" w:eastAsia="Times New Roman" w:hAnsi="Times New Roman" w:cs="Times New Roman"/>
        </w:rPr>
        <w:t xml:space="preserve"> (Ed.), </w:t>
      </w:r>
      <w:r>
        <w:rPr>
          <w:rFonts w:ascii="Times New Roman" w:eastAsia="Times New Roman" w:hAnsi="Times New Roman" w:cs="Times New Roman"/>
          <w:i/>
        </w:rPr>
        <w:t xml:space="preserve">Caterpillar and the mahua flower: Tremors in India’s mining fields </w:t>
      </w:r>
      <w:r>
        <w:rPr>
          <w:rFonts w:ascii="Times New Roman" w:eastAsia="Times New Roman" w:hAnsi="Times New Roman" w:cs="Times New Roman"/>
        </w:rPr>
        <w:t xml:space="preserve">(pp. 47-64). Panos South Asia. </w:t>
      </w:r>
    </w:p>
    <w:p w14:paraId="16402D10"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lastRenderedPageBreak/>
        <w:t xml:space="preserve">Ramachandran, V. (2018). </w:t>
      </w:r>
      <w:r>
        <w:rPr>
          <w:rFonts w:ascii="Times New Roman" w:eastAsia="Times New Roman" w:hAnsi="Times New Roman" w:cs="Times New Roman"/>
          <w:i/>
        </w:rPr>
        <w:t>Inside Indian schools</w:t>
      </w:r>
      <w:r>
        <w:rPr>
          <w:rFonts w:ascii="Times New Roman" w:eastAsia="Times New Roman" w:hAnsi="Times New Roman" w:cs="Times New Roman"/>
        </w:rPr>
        <w:t xml:space="preserve">. The Orient </w:t>
      </w:r>
      <w:proofErr w:type="spellStart"/>
      <w:r>
        <w:rPr>
          <w:rFonts w:ascii="Times New Roman" w:eastAsia="Times New Roman" w:hAnsi="Times New Roman" w:cs="Times New Roman"/>
        </w:rPr>
        <w:t>Blackswan</w:t>
      </w:r>
      <w:proofErr w:type="spellEnd"/>
      <w:r>
        <w:rPr>
          <w:rFonts w:ascii="Times New Roman" w:eastAsia="Times New Roman" w:hAnsi="Times New Roman" w:cs="Times New Roman"/>
        </w:rPr>
        <w:t>.</w:t>
      </w:r>
    </w:p>
    <w:p w14:paraId="370D7A4E"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Rycroft, D. J., &amp; Dasgupta, S. (Eds.). (2011). </w:t>
      </w:r>
      <w:r>
        <w:rPr>
          <w:rFonts w:ascii="Times New Roman" w:eastAsia="Times New Roman" w:hAnsi="Times New Roman" w:cs="Times New Roman"/>
          <w:i/>
        </w:rPr>
        <w:t>The Politics of Belonging in India: Becoming Adivasi</w:t>
      </w:r>
      <w:r>
        <w:rPr>
          <w:rFonts w:ascii="Times New Roman" w:eastAsia="Times New Roman" w:hAnsi="Times New Roman" w:cs="Times New Roman"/>
        </w:rPr>
        <w:t>. Routledge.</w:t>
      </w:r>
    </w:p>
    <w:p w14:paraId="1B19E4B8"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Sharma, R., &amp; Ramachandran, V. (2012). </w:t>
      </w:r>
      <w:r>
        <w:rPr>
          <w:rFonts w:ascii="Times New Roman" w:eastAsia="Times New Roman" w:hAnsi="Times New Roman" w:cs="Times New Roman"/>
          <w:i/>
        </w:rPr>
        <w:t>The Elementary Education System in India: Exploring Institutional Structures, Processes and Dynamics</w:t>
      </w:r>
      <w:r>
        <w:rPr>
          <w:rFonts w:ascii="Times New Roman" w:eastAsia="Times New Roman" w:hAnsi="Times New Roman" w:cs="Times New Roman"/>
        </w:rPr>
        <w:t>. Taylor &amp; Francis.</w:t>
      </w:r>
    </w:p>
    <w:p w14:paraId="4B682D47"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Srinivasan, S. (2015). Revamping Teacher Education. </w:t>
      </w:r>
      <w:r>
        <w:rPr>
          <w:rFonts w:ascii="Times New Roman" w:eastAsia="Times New Roman" w:hAnsi="Times New Roman" w:cs="Times New Roman"/>
          <w:i/>
        </w:rPr>
        <w:t>Economic and Political Weekly</w:t>
      </w:r>
      <w:r>
        <w:rPr>
          <w:rFonts w:ascii="Times New Roman" w:eastAsia="Times New Roman" w:hAnsi="Times New Roman" w:cs="Times New Roman"/>
        </w:rPr>
        <w:t xml:space="preserve">, </w:t>
      </w:r>
      <w:r>
        <w:rPr>
          <w:rFonts w:ascii="Times New Roman" w:eastAsia="Times New Roman" w:hAnsi="Times New Roman" w:cs="Times New Roman"/>
          <w:i/>
        </w:rPr>
        <w:t>50</w:t>
      </w:r>
      <w:r>
        <w:rPr>
          <w:rFonts w:ascii="Times New Roman" w:eastAsia="Times New Roman" w:hAnsi="Times New Roman" w:cs="Times New Roman"/>
        </w:rPr>
        <w:t>(35), 22–24.</w:t>
      </w:r>
    </w:p>
    <w:p w14:paraId="769DCCBD" w14:textId="77777777" w:rsidR="003934E1" w:rsidRDefault="00000000">
      <w:pPr>
        <w:spacing w:before="120" w:after="120" w:line="360" w:lineRule="auto"/>
        <w:ind w:left="567"/>
        <w:jc w:val="both"/>
        <w:rPr>
          <w:rFonts w:ascii="Times New Roman" w:eastAsia="Times New Roman" w:hAnsi="Times New Roman" w:cs="Times New Roman"/>
        </w:rPr>
      </w:pPr>
      <w:proofErr w:type="spellStart"/>
      <w:r>
        <w:rPr>
          <w:rFonts w:ascii="Times New Roman" w:eastAsia="Times New Roman" w:hAnsi="Times New Roman" w:cs="Times New Roman"/>
        </w:rPr>
        <w:t>Steur</w:t>
      </w:r>
      <w:proofErr w:type="spellEnd"/>
      <w:r>
        <w:rPr>
          <w:rFonts w:ascii="Times New Roman" w:eastAsia="Times New Roman" w:hAnsi="Times New Roman" w:cs="Times New Roman"/>
        </w:rPr>
        <w:t xml:space="preserve">, L. (2017). </w:t>
      </w:r>
      <w:r>
        <w:rPr>
          <w:rFonts w:ascii="Times New Roman" w:eastAsia="Times New Roman" w:hAnsi="Times New Roman" w:cs="Times New Roman"/>
          <w:i/>
        </w:rPr>
        <w:t>Indigenist Mobilization: Confronting Electoral Communism And Precarious Livelihoods In Post-Reform Kerala</w:t>
      </w:r>
      <w:r>
        <w:rPr>
          <w:rFonts w:ascii="Times New Roman" w:eastAsia="Times New Roman" w:hAnsi="Times New Roman" w:cs="Times New Roman"/>
        </w:rPr>
        <w:t xml:space="preserve">. The Orient </w:t>
      </w:r>
      <w:proofErr w:type="spellStart"/>
      <w:r>
        <w:rPr>
          <w:rFonts w:ascii="Times New Roman" w:eastAsia="Times New Roman" w:hAnsi="Times New Roman" w:cs="Times New Roman"/>
        </w:rPr>
        <w:t>Blackswan</w:t>
      </w:r>
      <w:proofErr w:type="spellEnd"/>
      <w:r>
        <w:rPr>
          <w:rFonts w:ascii="Times New Roman" w:eastAsia="Times New Roman" w:hAnsi="Times New Roman" w:cs="Times New Roman"/>
        </w:rPr>
        <w:t>.</w:t>
      </w:r>
    </w:p>
    <w:p w14:paraId="1EC46799"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Sundar, N. (1997). </w:t>
      </w:r>
      <w:r>
        <w:rPr>
          <w:rFonts w:ascii="Times New Roman" w:eastAsia="Times New Roman" w:hAnsi="Times New Roman" w:cs="Times New Roman"/>
          <w:i/>
        </w:rPr>
        <w:t>Subalterns and Sovereigns: An Anthropological History of Bastar, 1854-1996</w:t>
      </w:r>
      <w:r>
        <w:rPr>
          <w:rFonts w:ascii="Times New Roman" w:eastAsia="Times New Roman" w:hAnsi="Times New Roman" w:cs="Times New Roman"/>
        </w:rPr>
        <w:t>. Oxford University Press.</w:t>
      </w:r>
    </w:p>
    <w:p w14:paraId="6FC71280"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Sundar, N. (2016). </w:t>
      </w:r>
      <w:r>
        <w:rPr>
          <w:rFonts w:ascii="Times New Roman" w:eastAsia="Times New Roman" w:hAnsi="Times New Roman" w:cs="Times New Roman"/>
          <w:i/>
        </w:rPr>
        <w:t>The Burning Forest: India’s War in Bastar</w:t>
      </w:r>
      <w:r>
        <w:rPr>
          <w:rFonts w:ascii="Times New Roman" w:eastAsia="Times New Roman" w:hAnsi="Times New Roman" w:cs="Times New Roman"/>
        </w:rPr>
        <w:t>. Juggernaut.</w:t>
      </w:r>
    </w:p>
    <w:p w14:paraId="431DA200" w14:textId="77777777" w:rsidR="003934E1" w:rsidRDefault="00000000">
      <w:pPr>
        <w:spacing w:before="120" w:after="12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Vaid, D. (2024). “If not work, then what?”: Work, ambition, and satisfaction among young women in urban India. </w:t>
      </w:r>
      <w:r>
        <w:rPr>
          <w:rFonts w:ascii="Times New Roman" w:eastAsia="Times New Roman" w:hAnsi="Times New Roman" w:cs="Times New Roman"/>
          <w:i/>
        </w:rPr>
        <w:t>South Asian History and Culture</w:t>
      </w:r>
      <w:r>
        <w:rPr>
          <w:rFonts w:ascii="Times New Roman" w:eastAsia="Times New Roman" w:hAnsi="Times New Roman" w:cs="Times New Roman"/>
        </w:rPr>
        <w:t xml:space="preserve">, </w:t>
      </w:r>
      <w:r>
        <w:rPr>
          <w:rFonts w:ascii="Times New Roman" w:eastAsia="Times New Roman" w:hAnsi="Times New Roman" w:cs="Times New Roman"/>
          <w:i/>
        </w:rPr>
        <w:t>15</w:t>
      </w:r>
      <w:r>
        <w:rPr>
          <w:rFonts w:ascii="Times New Roman" w:eastAsia="Times New Roman" w:hAnsi="Times New Roman" w:cs="Times New Roman"/>
        </w:rPr>
        <w:t xml:space="preserve">(2), 264–281. </w:t>
      </w:r>
    </w:p>
    <w:p w14:paraId="62DCAA3F" w14:textId="77777777" w:rsidR="003934E1" w:rsidRDefault="00000000">
      <w:pPr>
        <w:spacing w:before="120" w:after="120" w:line="360" w:lineRule="auto"/>
        <w:ind w:left="567"/>
        <w:jc w:val="both"/>
        <w:rPr>
          <w:rFonts w:ascii="Times New Roman" w:eastAsia="Times New Roman" w:hAnsi="Times New Roman" w:cs="Times New Roman"/>
        </w:rPr>
      </w:pPr>
      <w:proofErr w:type="spellStart"/>
      <w:r>
        <w:rPr>
          <w:rFonts w:ascii="Times New Roman" w:eastAsia="Times New Roman" w:hAnsi="Times New Roman" w:cs="Times New Roman"/>
        </w:rPr>
        <w:t>Veerbhadranaika</w:t>
      </w:r>
      <w:proofErr w:type="spellEnd"/>
      <w:r>
        <w:rPr>
          <w:rFonts w:ascii="Times New Roman" w:eastAsia="Times New Roman" w:hAnsi="Times New Roman" w:cs="Times New Roman"/>
        </w:rPr>
        <w:t xml:space="preserve">, P., Sampath Kumaran, R., </w:t>
      </w:r>
      <w:proofErr w:type="spellStart"/>
      <w:r>
        <w:rPr>
          <w:rFonts w:ascii="Times New Roman" w:eastAsia="Times New Roman" w:hAnsi="Times New Roman" w:cs="Times New Roman"/>
        </w:rPr>
        <w:t>Tukdeo</w:t>
      </w:r>
      <w:proofErr w:type="spellEnd"/>
      <w:r>
        <w:rPr>
          <w:rFonts w:ascii="Times New Roman" w:eastAsia="Times New Roman" w:hAnsi="Times New Roman" w:cs="Times New Roman"/>
        </w:rPr>
        <w:t xml:space="preserve">, S., &amp; Vasavi, A. R. (2012). </w:t>
      </w:r>
      <w:r>
        <w:rPr>
          <w:rFonts w:ascii="Times New Roman" w:eastAsia="Times New Roman" w:hAnsi="Times New Roman" w:cs="Times New Roman"/>
          <w:i/>
        </w:rPr>
        <w:t>‘The education question’ from the perspective of Adivasis: Conditions, policies and structures.</w:t>
      </w:r>
      <w:r>
        <w:rPr>
          <w:rFonts w:ascii="Times New Roman" w:eastAsia="Times New Roman" w:hAnsi="Times New Roman" w:cs="Times New Roman"/>
        </w:rPr>
        <w:t xml:space="preserve"> (NIAS Report No. R7-2012). </w:t>
      </w:r>
    </w:p>
    <w:p w14:paraId="467C2155" w14:textId="77777777" w:rsidR="003934E1" w:rsidRDefault="00000000">
      <w:pPr>
        <w:shd w:val="clear" w:color="auto" w:fill="FFFFFF"/>
        <w:spacing w:before="240" w:after="240" w:line="360" w:lineRule="auto"/>
        <w:ind w:left="567"/>
        <w:jc w:val="both"/>
        <w:rPr>
          <w:rFonts w:ascii="Times New Roman" w:eastAsia="Times New Roman" w:hAnsi="Times New Roman" w:cs="Times New Roman"/>
        </w:rPr>
      </w:pPr>
      <w:r>
        <w:rPr>
          <w:rFonts w:ascii="Times New Roman" w:eastAsia="Times New Roman" w:hAnsi="Times New Roman" w:cs="Times New Roman"/>
        </w:rPr>
        <w:t xml:space="preserve">Wadhwa, G. (2021). Silence as Collective Resistance among Adivasi Youth in India. In A. Cooper, S. Swartz, C.M. Batan &amp; L.K. Causa (Eds.), </w:t>
      </w:r>
      <w:r>
        <w:rPr>
          <w:rFonts w:ascii="Times New Roman" w:eastAsia="Times New Roman" w:hAnsi="Times New Roman" w:cs="Times New Roman"/>
          <w:i/>
        </w:rPr>
        <w:t>The Oxford Handbook of Global South Youth Studies</w:t>
      </w:r>
      <w:r>
        <w:rPr>
          <w:rFonts w:ascii="Times New Roman" w:eastAsia="Times New Roman" w:hAnsi="Times New Roman" w:cs="Times New Roman"/>
        </w:rPr>
        <w:t xml:space="preserve"> (pp. 473-483). Oxford University Press.</w:t>
      </w:r>
    </w:p>
    <w:p w14:paraId="231789AE" w14:textId="77777777" w:rsidR="003934E1" w:rsidRDefault="00000000">
      <w:pPr>
        <w:spacing w:before="120" w:after="120" w:line="360" w:lineRule="auto"/>
        <w:ind w:left="567"/>
        <w:jc w:val="both"/>
        <w:rPr>
          <w:rFonts w:ascii="Times New Roman" w:eastAsia="Times New Roman" w:hAnsi="Times New Roman" w:cs="Times New Roman"/>
        </w:rPr>
      </w:pPr>
      <w:proofErr w:type="spellStart"/>
      <w:r>
        <w:rPr>
          <w:rFonts w:ascii="Times New Roman" w:eastAsia="Times New Roman" w:hAnsi="Times New Roman" w:cs="Times New Roman"/>
        </w:rPr>
        <w:t>Zipin</w:t>
      </w:r>
      <w:proofErr w:type="spellEnd"/>
      <w:r>
        <w:rPr>
          <w:rFonts w:ascii="Times New Roman" w:eastAsia="Times New Roman" w:hAnsi="Times New Roman" w:cs="Times New Roman"/>
        </w:rPr>
        <w:t xml:space="preserve">, L., Sellar, S., Brennan, M., &amp; Gale, T. (2015). Educating for Futures in Marginalized Regions: A sociological framework for rethinking and researching aspirations. </w:t>
      </w:r>
      <w:r>
        <w:rPr>
          <w:rFonts w:ascii="Times New Roman" w:eastAsia="Times New Roman" w:hAnsi="Times New Roman" w:cs="Times New Roman"/>
          <w:i/>
        </w:rPr>
        <w:t>Educational Philosophy and Theory</w:t>
      </w:r>
      <w:r>
        <w:rPr>
          <w:rFonts w:ascii="Times New Roman" w:eastAsia="Times New Roman" w:hAnsi="Times New Roman" w:cs="Times New Roman"/>
        </w:rPr>
        <w:t xml:space="preserve">, </w:t>
      </w:r>
      <w:r>
        <w:rPr>
          <w:rFonts w:ascii="Times New Roman" w:eastAsia="Times New Roman" w:hAnsi="Times New Roman" w:cs="Times New Roman"/>
          <w:i/>
        </w:rPr>
        <w:t>47</w:t>
      </w:r>
      <w:r>
        <w:rPr>
          <w:rFonts w:ascii="Times New Roman" w:eastAsia="Times New Roman" w:hAnsi="Times New Roman" w:cs="Times New Roman"/>
        </w:rPr>
        <w:t xml:space="preserve">(3), 227–246. </w:t>
      </w:r>
    </w:p>
    <w:p w14:paraId="59099CD8" w14:textId="77777777" w:rsidR="003934E1" w:rsidRDefault="003934E1">
      <w:pPr>
        <w:spacing w:after="160" w:line="360" w:lineRule="auto"/>
        <w:jc w:val="both"/>
        <w:rPr>
          <w:rFonts w:ascii="Times New Roman" w:eastAsia="Times New Roman" w:hAnsi="Times New Roman" w:cs="Times New Roman"/>
        </w:rPr>
      </w:pPr>
    </w:p>
    <w:p w14:paraId="60D2F2FE" w14:textId="77777777" w:rsidR="003934E1" w:rsidRDefault="003934E1">
      <w:pPr>
        <w:spacing w:after="160" w:line="360" w:lineRule="auto"/>
        <w:jc w:val="both"/>
        <w:rPr>
          <w:rFonts w:ascii="Times New Roman" w:eastAsia="Times New Roman" w:hAnsi="Times New Roman" w:cs="Times New Roman"/>
          <w:color w:val="FF0000"/>
          <w:sz w:val="22"/>
          <w:szCs w:val="22"/>
        </w:rPr>
      </w:pPr>
    </w:p>
    <w:p w14:paraId="17C0E307" w14:textId="77777777" w:rsidR="003934E1" w:rsidRDefault="003934E1">
      <w:pPr>
        <w:spacing w:after="160" w:line="360" w:lineRule="auto"/>
        <w:jc w:val="both"/>
        <w:rPr>
          <w:rFonts w:ascii="Times New Roman" w:eastAsia="Times New Roman" w:hAnsi="Times New Roman" w:cs="Times New Roman"/>
          <w:color w:val="FF0000"/>
          <w:sz w:val="22"/>
          <w:szCs w:val="22"/>
        </w:rPr>
      </w:pPr>
    </w:p>
    <w:p w14:paraId="5DD23478" w14:textId="77777777" w:rsidR="003934E1" w:rsidRDefault="003934E1">
      <w:pPr>
        <w:spacing w:before="120" w:line="276" w:lineRule="auto"/>
        <w:rPr>
          <w:rFonts w:ascii="Times New Roman" w:eastAsia="Times New Roman" w:hAnsi="Times New Roman" w:cs="Times New Roman"/>
          <w:b/>
          <w:sz w:val="32"/>
          <w:szCs w:val="32"/>
        </w:rPr>
      </w:pPr>
    </w:p>
    <w:p w14:paraId="6433D0E2" w14:textId="77777777" w:rsidR="003934E1" w:rsidRDefault="00000000">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Tribal memorialisation and Hindu Nationalism: RSS's appropriative iconography of Birsa Munda. </w:t>
      </w:r>
    </w:p>
    <w:p w14:paraId="32E16085" w14:textId="77777777" w:rsidR="003934E1" w:rsidRDefault="003934E1">
      <w:pPr>
        <w:spacing w:line="360" w:lineRule="auto"/>
        <w:rPr>
          <w:rFonts w:ascii="Times New Roman" w:eastAsia="Times New Roman" w:hAnsi="Times New Roman" w:cs="Times New Roman"/>
          <w:sz w:val="26"/>
          <w:szCs w:val="26"/>
        </w:rPr>
      </w:pPr>
    </w:p>
    <w:p w14:paraId="0B408FCF"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Monuments, Images and Statues have developed as sites of sociopolitical memorialisation in India. Memorialisation facilitates the inclusion of icons into the everyday life of democratic politics and fosters an organised remembrance of the past, contributing to the development of collective community consciousness through the icon's visibility in public spaces (Rao 2025, Jain 2021). These acts of memorialisation appear stronger and carry a sharper emotive appeal in cases of subaltern figures. Such is the case of Birsa Munda, a tribal anti-imperial warrior from Jharkhand. Coming from a tribal community, Birsa Munda makes a rare presence in the elite list of popular anti-colonial heroes dominated by upper-caste icons.</w:t>
      </w:r>
    </w:p>
    <w:p w14:paraId="46D9A23C"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rise of Hindu Nationalism, spearheaded by the </w:t>
      </w:r>
      <w:proofErr w:type="spellStart"/>
      <w:r>
        <w:rPr>
          <w:rFonts w:ascii="Times New Roman" w:eastAsia="Times New Roman" w:hAnsi="Times New Roman" w:cs="Times New Roman"/>
        </w:rPr>
        <w:t>Rashtriya</w:t>
      </w:r>
      <w:proofErr w:type="spellEnd"/>
      <w:r>
        <w:rPr>
          <w:rFonts w:ascii="Times New Roman" w:eastAsia="Times New Roman" w:hAnsi="Times New Roman" w:cs="Times New Roman"/>
        </w:rPr>
        <w:t xml:space="preserve"> Swayamsevak Sangh (RSS), has mounted its sociopolitical hegemony across different quarters of Indian society. RSS often makes inroads into different communities by the cultural appropriation of different icons by locating them into the larger fold of Hindutva politics (Narayan, 2021). From Ambedkar to Gandhi, RSS has started admiring its political and ideological adversaries and appropriating their legacy. The same plot is deployed in the case of Birsa Munda. This paper attempts to study how RSS and BJP have utilised the iconography of Birsa Munda. It aims to look at the literature and works of organisations like </w:t>
      </w:r>
      <w:proofErr w:type="spellStart"/>
      <w:r>
        <w:rPr>
          <w:rFonts w:ascii="Times New Roman" w:eastAsia="Times New Roman" w:hAnsi="Times New Roman" w:cs="Times New Roman"/>
        </w:rPr>
        <w:t>Vanvasi</w:t>
      </w:r>
      <w:proofErr w:type="spellEnd"/>
      <w:r>
        <w:rPr>
          <w:rFonts w:ascii="Times New Roman" w:eastAsia="Times New Roman" w:hAnsi="Times New Roman" w:cs="Times New Roman"/>
        </w:rPr>
        <w:t xml:space="preserve"> Kalyan Ashram in RSS to understand how the iconography of Birsa Munda exists within the fold of RSS. In addition, the paper explores the government policies, announcements of schemes, statue &amp; museum making and announcements made by the BJP government concerning Birsa Munda since 2014 to study their political imperatives around tribal constituency vis-a-vis Hindu Nationalist politics. This study also seeks to understand how the appropriative iconography of Birsa Munda allows Hindu Nationalists to facilitate the spread of its ideology in tribal communities. The paper also identifies the selective assertion of Birsa Munda’s legacy by Hindu Nationalists, thereby fracturing his ideas and role in developing tribal consciousness. The paper concludes how, in the time of monument and memory politics, Hindu Nationalists' appropriative iconography of Birsa Munda awards him an iconoclasm of Hindu leader where his radical ideas of tribal consciousness, territory rights and resistance against capitalist imperialism are outshined by a deliberate cultural portrayal of forest (van) Hindu icon fighting against Christian Missionaries. </w:t>
      </w:r>
    </w:p>
    <w:p w14:paraId="2631ADD1" w14:textId="77777777" w:rsidR="003934E1" w:rsidRDefault="003934E1">
      <w:pPr>
        <w:spacing w:line="360" w:lineRule="auto"/>
        <w:rPr>
          <w:rFonts w:ascii="Times New Roman" w:eastAsia="Times New Roman" w:hAnsi="Times New Roman" w:cs="Times New Roman"/>
        </w:rPr>
      </w:pPr>
    </w:p>
    <w:p w14:paraId="5AE5F27B" w14:textId="77777777" w:rsidR="003934E1" w:rsidRDefault="00000000">
      <w:pPr>
        <w:spacing w:line="360" w:lineRule="auto"/>
        <w:rPr>
          <w:rFonts w:ascii="Helvetica Neue" w:eastAsia="Helvetica Neue" w:hAnsi="Helvetica Neue" w:cs="Helvetica Neue"/>
          <w:sz w:val="22"/>
          <w:szCs w:val="22"/>
        </w:rPr>
      </w:pPr>
      <w:r>
        <w:rPr>
          <w:rFonts w:ascii="Times New Roman" w:eastAsia="Times New Roman" w:hAnsi="Times New Roman" w:cs="Times New Roman"/>
          <w:b/>
        </w:rPr>
        <w:t>Author</w:t>
      </w:r>
      <w:r>
        <w:rPr>
          <w:rFonts w:ascii="Times New Roman" w:eastAsia="Times New Roman" w:hAnsi="Times New Roman" w:cs="Times New Roman"/>
        </w:rPr>
        <w:t xml:space="preserve">: Kumar Himanshu Shukla. PhD Candidate, Centre for Political Studies, Jawaharlal Nehru University. </w:t>
      </w:r>
    </w:p>
    <w:p w14:paraId="4294446E" w14:textId="77777777" w:rsidR="003934E1"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Tribal memorialisation and Hindu Nationalism: RSS's appropriative iconography of Birsa Munda. </w:t>
      </w:r>
    </w:p>
    <w:p w14:paraId="4D121171" w14:textId="77777777" w:rsidR="003934E1" w:rsidRDefault="003934E1">
      <w:pPr>
        <w:spacing w:line="360" w:lineRule="auto"/>
        <w:rPr>
          <w:rFonts w:ascii="Times New Roman" w:eastAsia="Times New Roman" w:hAnsi="Times New Roman" w:cs="Times New Roman"/>
        </w:rPr>
      </w:pPr>
    </w:p>
    <w:p w14:paraId="493401F4" w14:textId="77777777" w:rsidR="003934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Introduction</w:t>
      </w:r>
    </w:p>
    <w:p w14:paraId="6B3BC8AD"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Birsa Munda is undoubtedly the most revered icon from the tribal community. He has been a decisive figure in shaping anticolonial insurgent politics and promoting the cause of tribal autonomy against arbitrary and exploitative extraction by the colonial regime. Through his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movement, he popularised the territorial claims of indigenous communities on </w:t>
      </w:r>
      <w:proofErr w:type="spellStart"/>
      <w:r>
        <w:rPr>
          <w:rFonts w:ascii="Times New Roman" w:eastAsia="Times New Roman" w:hAnsi="Times New Roman" w:cs="Times New Roman"/>
        </w:rPr>
        <w:t>jal</w:t>
      </w:r>
      <w:proofErr w:type="spellEnd"/>
      <w:r>
        <w:rPr>
          <w:rFonts w:ascii="Times New Roman" w:eastAsia="Times New Roman" w:hAnsi="Times New Roman" w:cs="Times New Roman"/>
        </w:rPr>
        <w:t xml:space="preserve">, jungle and </w:t>
      </w:r>
      <w:proofErr w:type="spellStart"/>
      <w:r>
        <w:rPr>
          <w:rFonts w:ascii="Times New Roman" w:eastAsia="Times New Roman" w:hAnsi="Times New Roman" w:cs="Times New Roman"/>
        </w:rPr>
        <w:t>jameen</w:t>
      </w:r>
      <w:proofErr w:type="spellEnd"/>
      <w:r>
        <w:rPr>
          <w:rFonts w:ascii="Times New Roman" w:eastAsia="Times New Roman" w:hAnsi="Times New Roman" w:cs="Times New Roman"/>
        </w:rPr>
        <w:t xml:space="preserve">. Birsa Munda, a legendary tribal hero popularly known as Dharti </w:t>
      </w:r>
      <w:proofErr w:type="spellStart"/>
      <w:r>
        <w:rPr>
          <w:rFonts w:ascii="Times New Roman" w:eastAsia="Times New Roman" w:hAnsi="Times New Roman" w:cs="Times New Roman"/>
        </w:rPr>
        <w:t>Aaba</w:t>
      </w:r>
      <w:proofErr w:type="spellEnd"/>
      <w:r>
        <w:rPr>
          <w:rFonts w:ascii="Times New Roman" w:eastAsia="Times New Roman" w:hAnsi="Times New Roman" w:cs="Times New Roman"/>
        </w:rPr>
        <w:t xml:space="preserve">, has recently received pressing attention in national politics. The paper attempts to study the recent scheme of appropriative iconography of Birsa Munda by Hindutva politics. The year of 2025 marks a century since the inception of </w:t>
      </w:r>
      <w:proofErr w:type="spellStart"/>
      <w:r>
        <w:rPr>
          <w:rFonts w:ascii="Times New Roman" w:eastAsia="Times New Roman" w:hAnsi="Times New Roman" w:cs="Times New Roman"/>
        </w:rPr>
        <w:t>Rashtriya</w:t>
      </w:r>
      <w:proofErr w:type="spellEnd"/>
      <w:r>
        <w:rPr>
          <w:rFonts w:ascii="Times New Roman" w:eastAsia="Times New Roman" w:hAnsi="Times New Roman" w:cs="Times New Roman"/>
        </w:rPr>
        <w:t xml:space="preserve"> Swayamsevak Sangh, which has aspired to unite Hindus in making India a Hindu nation. Through a range of innovative outreach, it has made inroads into communities previously outside its fold. In this paper, I have studied how RSS affiliates like </w:t>
      </w:r>
      <w:proofErr w:type="spellStart"/>
      <w:r>
        <w:rPr>
          <w:rFonts w:ascii="Times New Roman" w:eastAsia="Times New Roman" w:hAnsi="Times New Roman" w:cs="Times New Roman"/>
        </w:rPr>
        <w:t>Vanvasi</w:t>
      </w:r>
      <w:proofErr w:type="spellEnd"/>
      <w:r>
        <w:rPr>
          <w:rFonts w:ascii="Times New Roman" w:eastAsia="Times New Roman" w:hAnsi="Times New Roman" w:cs="Times New Roman"/>
        </w:rPr>
        <w:t xml:space="preserve"> Kalyan Ashram and </w:t>
      </w:r>
      <w:proofErr w:type="spellStart"/>
      <w:r>
        <w:rPr>
          <w:rFonts w:ascii="Times New Roman" w:eastAsia="Times New Roman" w:hAnsi="Times New Roman" w:cs="Times New Roman"/>
        </w:rPr>
        <w:t>Bharatiya</w:t>
      </w:r>
      <w:proofErr w:type="spellEnd"/>
      <w:r>
        <w:rPr>
          <w:rFonts w:ascii="Times New Roman" w:eastAsia="Times New Roman" w:hAnsi="Times New Roman" w:cs="Times New Roman"/>
        </w:rPr>
        <w:t xml:space="preserve"> Janata Party have done a selective appropriation of Birsa Munda at the convenience of their political goals. The paper demonstrates that Birsa emerges as an icon to promote the nationalistic imaginations and the racial and territorial unison of Hindus. </w:t>
      </w:r>
    </w:p>
    <w:p w14:paraId="6F8E8949" w14:textId="77777777" w:rsidR="003934E1" w:rsidRDefault="003934E1">
      <w:pPr>
        <w:spacing w:line="360" w:lineRule="auto"/>
        <w:rPr>
          <w:rFonts w:ascii="Times New Roman" w:eastAsia="Times New Roman" w:hAnsi="Times New Roman" w:cs="Times New Roman"/>
        </w:rPr>
      </w:pPr>
    </w:p>
    <w:p w14:paraId="4A3599B3" w14:textId="77777777" w:rsidR="003934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Bhagwan Birsa Munda in the Kumbh Mela.</w:t>
      </w:r>
    </w:p>
    <w:p w14:paraId="05563C53"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As one knows, for long, </w:t>
      </w:r>
      <w:proofErr w:type="spellStart"/>
      <w:r>
        <w:rPr>
          <w:rFonts w:ascii="Times New Roman" w:eastAsia="Times New Roman" w:hAnsi="Times New Roman" w:cs="Times New Roman"/>
        </w:rPr>
        <w:t>Rashtriya</w:t>
      </w:r>
      <w:proofErr w:type="spellEnd"/>
      <w:r>
        <w:rPr>
          <w:rFonts w:ascii="Times New Roman" w:eastAsia="Times New Roman" w:hAnsi="Times New Roman" w:cs="Times New Roman"/>
        </w:rPr>
        <w:t xml:space="preserve"> Swayamsevak Sangh has been relentlessly trying to introduce the culture of Hindu religiosity amongst the tribals. For this, they have been organising and performing various cultural events and activities that can develop a solid cultural cohesion between Adivasis and Hindus. As we know, RSS carries reservations in using the word Adivasis, which, for them, entails a civilizational fissure and disjuncture between the Adivasis (indigenous) and the rest of Hindu religious society, seemingly antithetical to the Hindutva ethnonational project. As per the conventional understanding of RSS, the discourse of indigeneity and cultural separation runs counterproductive in forging the aspired unity amongst Hindus for their Hindu Rashtra project. To counter this, RSS in their lexicon refers to tribals as </w:t>
      </w:r>
      <w:proofErr w:type="spellStart"/>
      <w:r>
        <w:rPr>
          <w:rFonts w:ascii="Times New Roman" w:eastAsia="Times New Roman" w:hAnsi="Times New Roman" w:cs="Times New Roman"/>
        </w:rPr>
        <w:t>Vanvasi</w:t>
      </w:r>
      <w:proofErr w:type="spellEnd"/>
      <w:r>
        <w:rPr>
          <w:rFonts w:ascii="Times New Roman" w:eastAsia="Times New Roman" w:hAnsi="Times New Roman" w:cs="Times New Roman"/>
        </w:rPr>
        <w:t xml:space="preserve">. Using a </w:t>
      </w:r>
      <w:proofErr w:type="spellStart"/>
      <w:r>
        <w:rPr>
          <w:rFonts w:ascii="Times New Roman" w:eastAsia="Times New Roman" w:hAnsi="Times New Roman" w:cs="Times New Roman"/>
        </w:rPr>
        <w:t>Sanskritised</w:t>
      </w:r>
      <w:proofErr w:type="spellEnd"/>
      <w:r>
        <w:rPr>
          <w:rFonts w:ascii="Times New Roman" w:eastAsia="Times New Roman" w:hAnsi="Times New Roman" w:cs="Times New Roman"/>
        </w:rPr>
        <w:t xml:space="preserve"> term arguably helps them exhibit a connection between tribals and the Hindu, which is impossible with the term </w:t>
      </w:r>
      <w:proofErr w:type="spellStart"/>
      <w:r>
        <w:rPr>
          <w:rFonts w:ascii="Times New Roman" w:eastAsia="Times New Roman" w:hAnsi="Times New Roman" w:cs="Times New Roman"/>
        </w:rPr>
        <w:t>Advasi</w:t>
      </w:r>
      <w:proofErr w:type="spellEnd"/>
      <w:r>
        <w:rPr>
          <w:rFonts w:ascii="Times New Roman" w:eastAsia="Times New Roman" w:hAnsi="Times New Roman" w:cs="Times New Roman"/>
        </w:rPr>
        <w:t xml:space="preserve"> (</w:t>
      </w:r>
      <w:r>
        <w:rPr>
          <w:rFonts w:ascii="Times New Roman" w:eastAsia="Times New Roman" w:hAnsi="Times New Roman" w:cs="Times New Roman"/>
          <w:b/>
        </w:rPr>
        <w:t>Sundar, 2006</w:t>
      </w:r>
      <w:r>
        <w:rPr>
          <w:rFonts w:ascii="Times New Roman" w:eastAsia="Times New Roman" w:hAnsi="Times New Roman" w:cs="Times New Roman"/>
        </w:rPr>
        <w:t xml:space="preserve">). To do this, RSS formed a dedicated organisation, Akhil </w:t>
      </w:r>
      <w:proofErr w:type="spellStart"/>
      <w:r>
        <w:rPr>
          <w:rFonts w:ascii="Times New Roman" w:eastAsia="Times New Roman" w:hAnsi="Times New Roman" w:cs="Times New Roman"/>
        </w:rPr>
        <w:t>Bharatiya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Vanvasi</w:t>
      </w:r>
      <w:proofErr w:type="spellEnd"/>
      <w:r>
        <w:rPr>
          <w:rFonts w:ascii="Times New Roman" w:eastAsia="Times New Roman" w:hAnsi="Times New Roman" w:cs="Times New Roman"/>
        </w:rPr>
        <w:t xml:space="preserve"> Kalyan Ashram (hereafter VKA), to concomitantly counter the religious penetration of </w:t>
      </w:r>
      <w:r>
        <w:rPr>
          <w:rFonts w:ascii="Times New Roman" w:eastAsia="Times New Roman" w:hAnsi="Times New Roman" w:cs="Times New Roman"/>
        </w:rPr>
        <w:lastRenderedPageBreak/>
        <w:t>Christian Missionaries in the tribal region and Hinduize them (</w:t>
      </w:r>
      <w:r>
        <w:rPr>
          <w:rFonts w:ascii="Times New Roman" w:eastAsia="Times New Roman" w:hAnsi="Times New Roman" w:cs="Times New Roman"/>
          <w:b/>
        </w:rPr>
        <w:t>Choubey 2025; Sundar, 2006</w:t>
      </w:r>
      <w:r>
        <w:rPr>
          <w:rFonts w:ascii="Times New Roman" w:eastAsia="Times New Roman" w:hAnsi="Times New Roman" w:cs="Times New Roman"/>
        </w:rPr>
        <w:t xml:space="preserve">). Christian Missionaries have been present in these regions since colonial rule and have provided education and biomedical services to proselytise tribals into their faith. VKA does seva (service) of its </w:t>
      </w:r>
      <w:proofErr w:type="spellStart"/>
      <w:r>
        <w:rPr>
          <w:rFonts w:ascii="Times New Roman" w:eastAsia="Times New Roman" w:hAnsi="Times New Roman" w:cs="Times New Roman"/>
        </w:rPr>
        <w:t>Vanvasi</w:t>
      </w:r>
      <w:proofErr w:type="spellEnd"/>
      <w:r>
        <w:rPr>
          <w:rFonts w:ascii="Times New Roman" w:eastAsia="Times New Roman" w:hAnsi="Times New Roman" w:cs="Times New Roman"/>
        </w:rPr>
        <w:t xml:space="preserve"> brethren through various activities like opening schools and hospitals, establishing hostels, organising </w:t>
      </w:r>
      <w:proofErr w:type="spellStart"/>
      <w:r>
        <w:rPr>
          <w:rFonts w:ascii="Times New Roman" w:eastAsia="Times New Roman" w:hAnsi="Times New Roman" w:cs="Times New Roman"/>
        </w:rPr>
        <w:t>shradha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jagran</w:t>
      </w:r>
      <w:proofErr w:type="spellEnd"/>
      <w:r>
        <w:rPr>
          <w:rFonts w:ascii="Times New Roman" w:eastAsia="Times New Roman" w:hAnsi="Times New Roman" w:cs="Times New Roman"/>
        </w:rPr>
        <w:t>, etc., to counter missionaries and promote upliftment (</w:t>
      </w:r>
      <w:r>
        <w:rPr>
          <w:rFonts w:ascii="Times New Roman" w:eastAsia="Times New Roman" w:hAnsi="Times New Roman" w:cs="Times New Roman"/>
          <w:b/>
        </w:rPr>
        <w:t>Froerer, 2006</w:t>
      </w:r>
      <w:r>
        <w:rPr>
          <w:rFonts w:ascii="Times New Roman" w:eastAsia="Times New Roman" w:hAnsi="Times New Roman" w:cs="Times New Roman"/>
        </w:rPr>
        <w:t>). They have imitated Christian Missionaries in modelling their service provisions and larger community outreach (</w:t>
      </w:r>
      <w:proofErr w:type="spellStart"/>
      <w:r>
        <w:rPr>
          <w:rFonts w:ascii="Times New Roman" w:eastAsia="Times New Roman" w:hAnsi="Times New Roman" w:cs="Times New Roman"/>
          <w:b/>
        </w:rPr>
        <w:t>Jaffrelot</w:t>
      </w:r>
      <w:proofErr w:type="spellEnd"/>
      <w:r>
        <w:rPr>
          <w:rFonts w:ascii="Times New Roman" w:eastAsia="Times New Roman" w:hAnsi="Times New Roman" w:cs="Times New Roman"/>
          <w:b/>
        </w:rPr>
        <w:t>, 1999</w:t>
      </w:r>
      <w:r>
        <w:rPr>
          <w:rFonts w:ascii="Times New Roman" w:eastAsia="Times New Roman" w:hAnsi="Times New Roman" w:cs="Times New Roman"/>
        </w:rPr>
        <w:t xml:space="preserve">). One prominent activity </w:t>
      </w:r>
      <w:proofErr w:type="spellStart"/>
      <w:r>
        <w:rPr>
          <w:rFonts w:ascii="Times New Roman" w:eastAsia="Times New Roman" w:hAnsi="Times New Roman" w:cs="Times New Roman"/>
        </w:rPr>
        <w:t>Vanvasi</w:t>
      </w:r>
      <w:proofErr w:type="spellEnd"/>
      <w:r>
        <w:rPr>
          <w:rFonts w:ascii="Times New Roman" w:eastAsia="Times New Roman" w:hAnsi="Times New Roman" w:cs="Times New Roman"/>
        </w:rPr>
        <w:t xml:space="preserve"> Kalyan Ashram took to foster such cultural cohesion was their participation in the 2025 </w:t>
      </w:r>
      <w:proofErr w:type="spellStart"/>
      <w:r>
        <w:rPr>
          <w:rFonts w:ascii="Times New Roman" w:eastAsia="Times New Roman" w:hAnsi="Times New Roman" w:cs="Times New Roman"/>
        </w:rPr>
        <w:t>Mahakumbh</w:t>
      </w:r>
      <w:proofErr w:type="spellEnd"/>
      <w:r>
        <w:rPr>
          <w:rFonts w:ascii="Times New Roman" w:eastAsia="Times New Roman" w:hAnsi="Times New Roman" w:cs="Times New Roman"/>
        </w:rPr>
        <w:t xml:space="preserve"> Mela, which took place in Prayagraj in Uttar Pradesh. As the record suggests, VKA has a reasonably long history of participating in Kumbh Melas (</w:t>
      </w:r>
      <w:r>
        <w:rPr>
          <w:rFonts w:ascii="Times New Roman" w:eastAsia="Times New Roman" w:hAnsi="Times New Roman" w:cs="Times New Roman"/>
          <w:b/>
        </w:rPr>
        <w:t>Choubey, 2025</w:t>
      </w:r>
      <w:r>
        <w:rPr>
          <w:rFonts w:ascii="Times New Roman" w:eastAsia="Times New Roman" w:hAnsi="Times New Roman" w:cs="Times New Roman"/>
        </w:rPr>
        <w:t>). However, the grandeur, overwhelming participation and subsequent publicity of this Mela remained unmatched. The scale of participation from VKA became the highest in its history.</w:t>
      </w:r>
    </w:p>
    <w:p w14:paraId="5854FCE4"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While roaming in the Mela, which was spread over 4000 hectares and divided into thousands of lanes and makeshift roads, I spotted a tent whose outer facade had a poster of Birsa Munda. A makeshift design of Trishul (trident) stood adjacent to it. Perplexed at this sight, I curiously approached the tent to discover that it belonged to </w:t>
      </w:r>
      <w:proofErr w:type="spellStart"/>
      <w:r>
        <w:rPr>
          <w:rFonts w:ascii="Times New Roman" w:eastAsia="Times New Roman" w:hAnsi="Times New Roman" w:cs="Times New Roman"/>
        </w:rPr>
        <w:t>Vanvasi</w:t>
      </w:r>
      <w:proofErr w:type="spellEnd"/>
      <w:r>
        <w:rPr>
          <w:rFonts w:ascii="Times New Roman" w:eastAsia="Times New Roman" w:hAnsi="Times New Roman" w:cs="Times New Roman"/>
        </w:rPr>
        <w:t xml:space="preserve"> Kalyan Ashram. It was a stupendous tent decked in saffron colour. While entering the premises, a volunteer asked me about my identity and purpose. After getting a satisfactory response, they granted me entry. The tent compound housed multiple spacious tents inside. It also had an open compound in the centre. Amongst these mini tents, one located left to the gate was the office, while others included separate sleeping rooms for boys and girls, a few guest sleeper rooms, and a kitchen. These mini tents stood on the left and right sides, making space for a spacious compound in the centre. Some tents appeared as thatched huts made of grass and bamboo. One volunteer explained about this deliberate choice of making huts, claiming </w:t>
      </w:r>
      <w:r>
        <w:rPr>
          <w:rFonts w:ascii="Times New Roman" w:eastAsia="Times New Roman" w:hAnsi="Times New Roman" w:cs="Times New Roman"/>
          <w:i/>
        </w:rPr>
        <w:t xml:space="preserve">ye </w:t>
      </w:r>
      <w:proofErr w:type="spellStart"/>
      <w:r>
        <w:rPr>
          <w:rFonts w:ascii="Times New Roman" w:eastAsia="Times New Roman" w:hAnsi="Times New Roman" w:cs="Times New Roman"/>
          <w:i/>
        </w:rPr>
        <w:t>humare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gharon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jaisa</w:t>
      </w:r>
      <w:proofErr w:type="spellEnd"/>
      <w:r>
        <w:rPr>
          <w:rFonts w:ascii="Times New Roman" w:eastAsia="Times New Roman" w:hAnsi="Times New Roman" w:cs="Times New Roman"/>
          <w:i/>
        </w:rPr>
        <w:t xml:space="preserve"> hi </w:t>
      </w:r>
      <w:proofErr w:type="spellStart"/>
      <w:r>
        <w:rPr>
          <w:rFonts w:ascii="Times New Roman" w:eastAsia="Times New Roman" w:hAnsi="Times New Roman" w:cs="Times New Roman"/>
          <w:i/>
        </w:rPr>
        <w:t>hai</w:t>
      </w:r>
      <w:proofErr w:type="spellEnd"/>
      <w:r>
        <w:rPr>
          <w:rFonts w:ascii="Times New Roman" w:eastAsia="Times New Roman" w:hAnsi="Times New Roman" w:cs="Times New Roman"/>
          <w:i/>
        </w:rPr>
        <w:t xml:space="preserve"> (It is just like our homes). </w:t>
      </w:r>
      <w:r>
        <w:rPr>
          <w:rFonts w:ascii="Times New Roman" w:eastAsia="Times New Roman" w:hAnsi="Times New Roman" w:cs="Times New Roman"/>
        </w:rPr>
        <w:t>Appearing similar to tribal habitus, the hut-like appearance gave a sense of authenticity to its representation of tribal culture.</w:t>
      </w:r>
    </w:p>
    <w:p w14:paraId="4F768E45" w14:textId="77777777" w:rsidR="003934E1" w:rsidRDefault="00000000">
      <w:pPr>
        <w:spacing w:line="360" w:lineRule="auto"/>
        <w:rPr>
          <w:rFonts w:ascii="Times New Roman" w:eastAsia="Times New Roman" w:hAnsi="Times New Roman" w:cs="Times New Roman"/>
          <w:i/>
        </w:rPr>
      </w:pPr>
      <w:r>
        <w:rPr>
          <w:rFonts w:ascii="Times New Roman" w:eastAsia="Times New Roman" w:hAnsi="Times New Roman" w:cs="Times New Roman"/>
        </w:rPr>
        <w:t xml:space="preserve">The compound's centre had a big portrait-sized image of Birsa Munda around which a small round-shaped space was created, resembling a parikrama space found in temples. Above the portrait unfurled a big flag of </w:t>
      </w:r>
      <w:proofErr w:type="spellStart"/>
      <w:r>
        <w:rPr>
          <w:rFonts w:ascii="Times New Roman" w:eastAsia="Times New Roman" w:hAnsi="Times New Roman" w:cs="Times New Roman"/>
        </w:rPr>
        <w:t>Vanvasi</w:t>
      </w:r>
      <w:proofErr w:type="spellEnd"/>
      <w:r>
        <w:rPr>
          <w:rFonts w:ascii="Times New Roman" w:eastAsia="Times New Roman" w:hAnsi="Times New Roman" w:cs="Times New Roman"/>
        </w:rPr>
        <w:t xml:space="preserve"> Kalyan Ashram of saffron. Being at the centre of the tent compound, it drew seamless attention of everyone. People entering the tent would catch sight of this centrally located portrait and revere it by doing the parikrama in the Hindu ritualistic way.  I was able to meet activists looking after the tent and chatted with them briefly. One of the senior activists showed me around the tent, explaining the significance of </w:t>
      </w:r>
      <w:r>
        <w:rPr>
          <w:rFonts w:ascii="Times New Roman" w:eastAsia="Times New Roman" w:hAnsi="Times New Roman" w:cs="Times New Roman"/>
        </w:rPr>
        <w:lastRenderedPageBreak/>
        <w:t xml:space="preserve">placing Munda’s portrait at the centre. He said: </w:t>
      </w:r>
      <w:r>
        <w:rPr>
          <w:rFonts w:ascii="Times New Roman" w:eastAsia="Times New Roman" w:hAnsi="Times New Roman" w:cs="Times New Roman"/>
          <w:i/>
        </w:rPr>
        <w:t xml:space="preserve">Pravesh </w:t>
      </w:r>
      <w:proofErr w:type="spellStart"/>
      <w:r>
        <w:rPr>
          <w:rFonts w:ascii="Times New Roman" w:eastAsia="Times New Roman" w:hAnsi="Times New Roman" w:cs="Times New Roman"/>
          <w:i/>
        </w:rPr>
        <w:t>karte</w:t>
      </w:r>
      <w:proofErr w:type="spellEnd"/>
      <w:r>
        <w:rPr>
          <w:rFonts w:ascii="Times New Roman" w:eastAsia="Times New Roman" w:hAnsi="Times New Roman" w:cs="Times New Roman"/>
          <w:i/>
        </w:rPr>
        <w:t xml:space="preserve"> hue </w:t>
      </w:r>
      <w:proofErr w:type="spellStart"/>
      <w:r>
        <w:rPr>
          <w:rFonts w:ascii="Times New Roman" w:eastAsia="Times New Roman" w:hAnsi="Times New Roman" w:cs="Times New Roman"/>
          <w:i/>
        </w:rPr>
        <w:t>sabse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pehle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yahan</w:t>
      </w:r>
      <w:proofErr w:type="spellEnd"/>
      <w:r>
        <w:rPr>
          <w:rFonts w:ascii="Times New Roman" w:eastAsia="Times New Roman" w:hAnsi="Times New Roman" w:cs="Times New Roman"/>
          <w:i/>
        </w:rPr>
        <w:t xml:space="preserve"> Birsa Munda ko hi pranam </w:t>
      </w:r>
      <w:proofErr w:type="spellStart"/>
      <w:r>
        <w:rPr>
          <w:rFonts w:ascii="Times New Roman" w:eastAsia="Times New Roman" w:hAnsi="Times New Roman" w:cs="Times New Roman"/>
          <w:i/>
        </w:rPr>
        <w:t>karte</w:t>
      </w:r>
      <w:proofErr w:type="spellEnd"/>
      <w:r>
        <w:rPr>
          <w:rFonts w:ascii="Times New Roman" w:eastAsia="Times New Roman" w:hAnsi="Times New Roman" w:cs="Times New Roman"/>
          <w:i/>
        </w:rPr>
        <w:t xml:space="preserve"> hain. Wo Bhagwan hain </w:t>
      </w:r>
      <w:proofErr w:type="spellStart"/>
      <w:r>
        <w:rPr>
          <w:rFonts w:ascii="Times New Roman" w:eastAsia="Times New Roman" w:hAnsi="Times New Roman" w:cs="Times New Roman"/>
          <w:i/>
        </w:rPr>
        <w:t>janjati</w:t>
      </w:r>
      <w:proofErr w:type="spellEnd"/>
      <w:r>
        <w:rPr>
          <w:rFonts w:ascii="Times New Roman" w:eastAsia="Times New Roman" w:hAnsi="Times New Roman" w:cs="Times New Roman"/>
          <w:i/>
        </w:rPr>
        <w:t xml:space="preserve"> samaj </w:t>
      </w:r>
      <w:proofErr w:type="spellStart"/>
      <w:r>
        <w:rPr>
          <w:rFonts w:ascii="Times New Roman" w:eastAsia="Times New Roman" w:hAnsi="Times New Roman" w:cs="Times New Roman"/>
          <w:i/>
        </w:rPr>
        <w:t>ke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liye</w:t>
      </w:r>
      <w:proofErr w:type="spellEnd"/>
      <w:r>
        <w:rPr>
          <w:rFonts w:ascii="Times New Roman" w:eastAsia="Times New Roman" w:hAnsi="Times New Roman" w:cs="Times New Roman"/>
          <w:i/>
        </w:rPr>
        <w:t xml:space="preserve"> (While entering, first of all, we bow down to Birsa Munda. He is a god for the tribal society.). </w:t>
      </w:r>
      <w:r>
        <w:rPr>
          <w:rFonts w:ascii="Times New Roman" w:eastAsia="Times New Roman" w:hAnsi="Times New Roman" w:cs="Times New Roman"/>
        </w:rPr>
        <w:t xml:space="preserve">The portrait of Birsa held much sway and significance and was visited by almost everyone entering the compound. One has to cross it to go to different tents and the other side of the compound. Other activists were also busy assisting the incoming group of tribals from different states, reaching the tent after a gruelling walk of many kilometres in the winter. Activists were constantly guiding other in-route groups about the tent’s location, often informing about </w:t>
      </w:r>
      <w:proofErr w:type="spellStart"/>
      <w:r>
        <w:rPr>
          <w:rFonts w:ascii="Times New Roman" w:eastAsia="Times New Roman" w:hAnsi="Times New Roman" w:cs="Times New Roman"/>
        </w:rPr>
        <w:t>trishu</w:t>
      </w:r>
      <w:proofErr w:type="spellEnd"/>
      <w:r>
        <w:rPr>
          <w:rFonts w:ascii="Times New Roman" w:eastAsia="Times New Roman" w:hAnsi="Times New Roman" w:cs="Times New Roman"/>
        </w:rPr>
        <w:t xml:space="preserve"> and Birsa’s portrait as landmarks. Tribals were brought to Prayagraj for spiritual tourism and to participate in the biggest fair of Hinduism. For them, the mela offered an organic symbiosis of diverse cultural traditions in Hinduism. </w:t>
      </w:r>
      <w:r>
        <w:rPr>
          <w:rFonts w:ascii="Times New Roman" w:eastAsia="Times New Roman" w:hAnsi="Times New Roman" w:cs="Times New Roman"/>
          <w:i/>
        </w:rPr>
        <w:t>The plurality of tribal culture also finds representation within it, and the presence of Birsa Munda in the Mela formed and facilitated such cohesion. The existence of Birsa Munda, their revered leader and god mediated their larger interaction with a sacred pilgrimage of Hinduism.</w:t>
      </w:r>
    </w:p>
    <w:p w14:paraId="123CC5EF"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As I was observing the inundation of people inside the tent, I enquired a volunteer about the possible reason, who replied with a gleeful smile and excitement: </w:t>
      </w:r>
      <w:r>
        <w:rPr>
          <w:rFonts w:ascii="Times New Roman" w:eastAsia="Times New Roman" w:hAnsi="Times New Roman" w:cs="Times New Roman"/>
          <w:i/>
        </w:rPr>
        <w:t xml:space="preserve">ye </w:t>
      </w:r>
      <w:proofErr w:type="spellStart"/>
      <w:r>
        <w:rPr>
          <w:rFonts w:ascii="Times New Roman" w:eastAsia="Times New Roman" w:hAnsi="Times New Roman" w:cs="Times New Roman"/>
          <w:i/>
        </w:rPr>
        <w:t>janjati</w:t>
      </w:r>
      <w:proofErr w:type="spellEnd"/>
      <w:r>
        <w:rPr>
          <w:rFonts w:ascii="Times New Roman" w:eastAsia="Times New Roman" w:hAnsi="Times New Roman" w:cs="Times New Roman"/>
          <w:i/>
        </w:rPr>
        <w:t xml:space="preserve"> samaj ka </w:t>
      </w:r>
      <w:proofErr w:type="spellStart"/>
      <w:r>
        <w:rPr>
          <w:rFonts w:ascii="Times New Roman" w:eastAsia="Times New Roman" w:hAnsi="Times New Roman" w:cs="Times New Roman"/>
          <w:i/>
        </w:rPr>
        <w:t>bhi</w:t>
      </w:r>
      <w:proofErr w:type="spellEnd"/>
      <w:r>
        <w:rPr>
          <w:rFonts w:ascii="Times New Roman" w:eastAsia="Times New Roman" w:hAnsi="Times New Roman" w:cs="Times New Roman"/>
          <w:i/>
        </w:rPr>
        <w:t xml:space="preserve"> to </w:t>
      </w:r>
      <w:proofErr w:type="spellStart"/>
      <w:r>
        <w:rPr>
          <w:rFonts w:ascii="Times New Roman" w:eastAsia="Times New Roman" w:hAnsi="Times New Roman" w:cs="Times New Roman"/>
          <w:i/>
        </w:rPr>
        <w:t>utsav</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hai</w:t>
      </w:r>
      <w:proofErr w:type="spellEnd"/>
      <w:r>
        <w:rPr>
          <w:rFonts w:ascii="Times New Roman" w:eastAsia="Times New Roman" w:hAnsi="Times New Roman" w:cs="Times New Roman"/>
          <w:i/>
        </w:rPr>
        <w:t xml:space="preserve">, wo log </w:t>
      </w:r>
      <w:proofErr w:type="spellStart"/>
      <w:r>
        <w:rPr>
          <w:rFonts w:ascii="Times New Roman" w:eastAsia="Times New Roman" w:hAnsi="Times New Roman" w:cs="Times New Roman"/>
          <w:i/>
        </w:rPr>
        <w:t>bhi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utsahit</w:t>
      </w:r>
      <w:proofErr w:type="spellEnd"/>
      <w:r>
        <w:rPr>
          <w:rFonts w:ascii="Times New Roman" w:eastAsia="Times New Roman" w:hAnsi="Times New Roman" w:cs="Times New Roman"/>
          <w:i/>
        </w:rPr>
        <w:t xml:space="preserve"> hain </w:t>
      </w:r>
      <w:proofErr w:type="spellStart"/>
      <w:r>
        <w:rPr>
          <w:rFonts w:ascii="Times New Roman" w:eastAsia="Times New Roman" w:hAnsi="Times New Roman" w:cs="Times New Roman"/>
          <w:i/>
        </w:rPr>
        <w:t>yahan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aane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ke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liye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aakhir</w:t>
      </w:r>
      <w:proofErr w:type="spellEnd"/>
      <w:r>
        <w:rPr>
          <w:rFonts w:ascii="Times New Roman" w:eastAsia="Times New Roman" w:hAnsi="Times New Roman" w:cs="Times New Roman"/>
          <w:i/>
        </w:rPr>
        <w:t xml:space="preserve"> 144 </w:t>
      </w:r>
      <w:proofErr w:type="spellStart"/>
      <w:r>
        <w:rPr>
          <w:rFonts w:ascii="Times New Roman" w:eastAsia="Times New Roman" w:hAnsi="Times New Roman" w:cs="Times New Roman"/>
          <w:i/>
        </w:rPr>
        <w:t>saal</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baad</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kumbh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ho</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rha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hai</w:t>
      </w:r>
      <w:proofErr w:type="spellEnd"/>
      <w:r>
        <w:rPr>
          <w:rFonts w:ascii="Times New Roman" w:eastAsia="Times New Roman" w:hAnsi="Times New Roman" w:cs="Times New Roman"/>
          <w:i/>
        </w:rPr>
        <w:t xml:space="preserve"> (This is also a festival of the tribal community, they are also excited to come here, after all, Kumbh is happening after 144 years.). </w:t>
      </w:r>
      <w:r>
        <w:rPr>
          <w:rFonts w:ascii="Times New Roman" w:eastAsia="Times New Roman" w:hAnsi="Times New Roman" w:cs="Times New Roman"/>
        </w:rPr>
        <w:t>This interesting response underscores how Hindutva frame a cultural relationship of the tribal community with the Hindu pilgrimage tradition and cements the claim of a civilisation bond existing between them, promoted by Hindutva politics. Sociologists like Badri Narayan have outlined the importance of outreach in the non-material realm of community life. Through his ethnographic insights gathered amongst Dalits in Uttar Pradesh, he argues that RSS works on assimilation with dignity by building temples and providing due respect to their deities in the Hindu pantheon for assimilating Dalits and winning their votes (Narayan, 2021). I was told that VKA mobilised tribals from all of the tribal dominated states, particularly the north-eastern states. The rationale behind such dedicated mobilisation was to introduce them to Hindu pilgrimage and rituals, as due to spatial remoteness, they do not often get a chance to celebrate or observe such events. (</w:t>
      </w:r>
      <w:proofErr w:type="spellStart"/>
      <w:r>
        <w:rPr>
          <w:rFonts w:ascii="Times New Roman" w:eastAsia="Times New Roman" w:hAnsi="Times New Roman" w:cs="Times New Roman"/>
        </w:rPr>
        <w:t>Longkumer</w:t>
      </w:r>
      <w:proofErr w:type="spellEnd"/>
      <w:r>
        <w:rPr>
          <w:rFonts w:ascii="Times New Roman" w:eastAsia="Times New Roman" w:hAnsi="Times New Roman" w:cs="Times New Roman"/>
        </w:rPr>
        <w:t>, 2020)</w:t>
      </w:r>
    </w:p>
    <w:p w14:paraId="408225A2"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Out here, they also participated in numerous cultural events organised by VKA, like cultural dance in traditional dress and singing of folk songs by these different tribal groups. These cultural events at </w:t>
      </w:r>
      <w:proofErr w:type="spellStart"/>
      <w:r>
        <w:rPr>
          <w:rFonts w:ascii="Times New Roman" w:eastAsia="Times New Roman" w:hAnsi="Times New Roman" w:cs="Times New Roman"/>
        </w:rPr>
        <w:t>Mahakumbh</w:t>
      </w:r>
      <w:proofErr w:type="spellEnd"/>
      <w:r>
        <w:rPr>
          <w:rFonts w:ascii="Times New Roman" w:eastAsia="Times New Roman" w:hAnsi="Times New Roman" w:cs="Times New Roman"/>
        </w:rPr>
        <w:t xml:space="preserve"> became a space for the cultural visibility of tribals and a larger exchange amongst these disparate communities to thicken the sense of oneness. Hindutva </w:t>
      </w:r>
      <w:r>
        <w:rPr>
          <w:rFonts w:ascii="Times New Roman" w:eastAsia="Times New Roman" w:hAnsi="Times New Roman" w:cs="Times New Roman"/>
        </w:rPr>
        <w:lastRenderedPageBreak/>
        <w:t>regimes have often been found organising such grand and record-breaking events of tribal dance to promote it on the global stage, but connive at the structural issues of their life beyond exoticisation (</w:t>
      </w:r>
      <w:hyperlink r:id="rId64">
        <w:r w:rsidR="003934E1">
          <w:rPr>
            <w:rFonts w:ascii="Times New Roman" w:eastAsia="Times New Roman" w:hAnsi="Times New Roman" w:cs="Times New Roman"/>
            <w:u w:val="single"/>
          </w:rPr>
          <w:t>Caravan 2025</w:t>
        </w:r>
      </w:hyperlink>
      <w:r>
        <w:rPr>
          <w:rFonts w:ascii="Times New Roman" w:eastAsia="Times New Roman" w:hAnsi="Times New Roman" w:cs="Times New Roman"/>
        </w:rPr>
        <w:t xml:space="preserve">). </w:t>
      </w:r>
    </w:p>
    <w:p w14:paraId="5BEAA073"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As an activist said: </w:t>
      </w:r>
      <w:proofErr w:type="spellStart"/>
      <w:r>
        <w:rPr>
          <w:rFonts w:ascii="Times New Roman" w:eastAsia="Times New Roman" w:hAnsi="Times New Roman" w:cs="Times New Roman"/>
          <w:i/>
        </w:rPr>
        <w:t>Janajati</w:t>
      </w:r>
      <w:proofErr w:type="spellEnd"/>
      <w:r>
        <w:rPr>
          <w:rFonts w:ascii="Times New Roman" w:eastAsia="Times New Roman" w:hAnsi="Times New Roman" w:cs="Times New Roman"/>
          <w:i/>
        </w:rPr>
        <w:t xml:space="preserve"> aur Hindu samaj ek </w:t>
      </w:r>
      <w:proofErr w:type="spellStart"/>
      <w:r>
        <w:rPr>
          <w:rFonts w:ascii="Times New Roman" w:eastAsia="Times New Roman" w:hAnsi="Times New Roman" w:cs="Times New Roman"/>
          <w:i/>
        </w:rPr>
        <w:t>dusre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ke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utsavon</w:t>
      </w:r>
      <w:proofErr w:type="spellEnd"/>
      <w:r>
        <w:rPr>
          <w:rFonts w:ascii="Times New Roman" w:eastAsia="Times New Roman" w:hAnsi="Times New Roman" w:cs="Times New Roman"/>
          <w:i/>
        </w:rPr>
        <w:t xml:space="preserve"> me </w:t>
      </w:r>
      <w:proofErr w:type="spellStart"/>
      <w:r>
        <w:rPr>
          <w:rFonts w:ascii="Times New Roman" w:eastAsia="Times New Roman" w:hAnsi="Times New Roman" w:cs="Times New Roman"/>
          <w:i/>
        </w:rPr>
        <w:t>shamil</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hokar</w:t>
      </w:r>
      <w:proofErr w:type="spellEnd"/>
      <w:r>
        <w:rPr>
          <w:rFonts w:ascii="Times New Roman" w:eastAsia="Times New Roman" w:hAnsi="Times New Roman" w:cs="Times New Roman"/>
          <w:i/>
        </w:rPr>
        <w:t xml:space="preserve"> hi ek </w:t>
      </w:r>
      <w:proofErr w:type="spellStart"/>
      <w:r>
        <w:rPr>
          <w:rFonts w:ascii="Times New Roman" w:eastAsia="Times New Roman" w:hAnsi="Times New Roman" w:cs="Times New Roman"/>
          <w:i/>
        </w:rPr>
        <w:t>dusre</w:t>
      </w:r>
      <w:proofErr w:type="spellEnd"/>
      <w:r>
        <w:rPr>
          <w:rFonts w:ascii="Times New Roman" w:eastAsia="Times New Roman" w:hAnsi="Times New Roman" w:cs="Times New Roman"/>
          <w:i/>
        </w:rPr>
        <w:t xml:space="preserve"> ko </w:t>
      </w:r>
      <w:proofErr w:type="spellStart"/>
      <w:r>
        <w:rPr>
          <w:rFonts w:ascii="Times New Roman" w:eastAsia="Times New Roman" w:hAnsi="Times New Roman" w:cs="Times New Roman"/>
          <w:i/>
        </w:rPr>
        <w:t>jan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sakte</w:t>
      </w:r>
      <w:proofErr w:type="spellEnd"/>
      <w:r>
        <w:rPr>
          <w:rFonts w:ascii="Times New Roman" w:eastAsia="Times New Roman" w:hAnsi="Times New Roman" w:cs="Times New Roman"/>
          <w:i/>
        </w:rPr>
        <w:t xml:space="preserve"> hain. </w:t>
      </w:r>
      <w:proofErr w:type="spellStart"/>
      <w:r>
        <w:rPr>
          <w:rFonts w:ascii="Times New Roman" w:eastAsia="Times New Roman" w:hAnsi="Times New Roman" w:cs="Times New Roman"/>
          <w:i/>
        </w:rPr>
        <w:t>Aaj</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janjati</w:t>
      </w:r>
      <w:proofErr w:type="spellEnd"/>
      <w:r>
        <w:rPr>
          <w:rFonts w:ascii="Times New Roman" w:eastAsia="Times New Roman" w:hAnsi="Times New Roman" w:cs="Times New Roman"/>
          <w:i/>
        </w:rPr>
        <w:t xml:space="preserve"> aye hain, kal </w:t>
      </w:r>
      <w:proofErr w:type="spellStart"/>
      <w:r>
        <w:rPr>
          <w:rFonts w:ascii="Times New Roman" w:eastAsia="Times New Roman" w:hAnsi="Times New Roman" w:cs="Times New Roman"/>
          <w:i/>
        </w:rPr>
        <w:t>aaplog</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unke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tyohar</w:t>
      </w:r>
      <w:proofErr w:type="spellEnd"/>
      <w:r>
        <w:rPr>
          <w:rFonts w:ascii="Times New Roman" w:eastAsia="Times New Roman" w:hAnsi="Times New Roman" w:cs="Times New Roman"/>
          <w:i/>
        </w:rPr>
        <w:t xml:space="preserve"> me </w:t>
      </w:r>
      <w:proofErr w:type="spellStart"/>
      <w:r>
        <w:rPr>
          <w:rFonts w:ascii="Times New Roman" w:eastAsia="Times New Roman" w:hAnsi="Times New Roman" w:cs="Times New Roman"/>
          <w:i/>
        </w:rPr>
        <w:t>jaiye</w:t>
      </w:r>
      <w:proofErr w:type="spellEnd"/>
      <w:r>
        <w:rPr>
          <w:rFonts w:ascii="Times New Roman" w:eastAsia="Times New Roman" w:hAnsi="Times New Roman" w:cs="Times New Roman"/>
          <w:i/>
        </w:rPr>
        <w:t xml:space="preserve"> (Tribal and Hindu communities can know each other only by participating in each other's festivals. Today they have come, tomorrow you all go to their festival). </w:t>
      </w:r>
      <w:r>
        <w:rPr>
          <w:rFonts w:ascii="Times New Roman" w:eastAsia="Times New Roman" w:hAnsi="Times New Roman" w:cs="Times New Roman"/>
        </w:rPr>
        <w:t xml:space="preserve">The ideological motivation behind bringing tribals to participate in the Kumbh mela and organising their cultural events was to promote a sense of religious belonging in them towards Hinduism. The event was strategically organised to associate Birsa with the Hindu religious pantheon to cultivate a sense of spiritual unity among them. In the mela, I observed a conscious focus on Birsa’s brief engagement with Vaishnavism, whose influence was a pivotal moment in his life and eminently shaped his anticolonial and anti-missionary ideology. It is something VKA has recurrently popularised. VKA has selectively popularised this aspect of his life through its writings and speeches (Van Bandhu, 2024). As said by the activist, </w:t>
      </w:r>
      <w:proofErr w:type="spellStart"/>
      <w:r>
        <w:rPr>
          <w:rFonts w:ascii="Times New Roman" w:eastAsia="Times New Roman" w:hAnsi="Times New Roman" w:cs="Times New Roman"/>
          <w:i/>
        </w:rPr>
        <w:t>Janjati</w:t>
      </w:r>
      <w:proofErr w:type="spellEnd"/>
      <w:r>
        <w:rPr>
          <w:rFonts w:ascii="Times New Roman" w:eastAsia="Times New Roman" w:hAnsi="Times New Roman" w:cs="Times New Roman"/>
          <w:i/>
        </w:rPr>
        <w:t xml:space="preserve"> samaj </w:t>
      </w:r>
      <w:proofErr w:type="spellStart"/>
      <w:r>
        <w:rPr>
          <w:rFonts w:ascii="Times New Roman" w:eastAsia="Times New Roman" w:hAnsi="Times New Roman" w:cs="Times New Roman"/>
          <w:i/>
        </w:rPr>
        <w:t>hamesha</w:t>
      </w:r>
      <w:proofErr w:type="spellEnd"/>
      <w:r>
        <w:rPr>
          <w:rFonts w:ascii="Times New Roman" w:eastAsia="Times New Roman" w:hAnsi="Times New Roman" w:cs="Times New Roman"/>
          <w:i/>
        </w:rPr>
        <w:t xml:space="preserve"> se Hindu Sanskar ka </w:t>
      </w:r>
      <w:proofErr w:type="spellStart"/>
      <w:r>
        <w:rPr>
          <w:rFonts w:ascii="Times New Roman" w:eastAsia="Times New Roman" w:hAnsi="Times New Roman" w:cs="Times New Roman"/>
          <w:i/>
        </w:rPr>
        <w:t>raha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hai</w:t>
      </w:r>
      <w:proofErr w:type="spellEnd"/>
      <w:r>
        <w:rPr>
          <w:rFonts w:ascii="Times New Roman" w:eastAsia="Times New Roman" w:hAnsi="Times New Roman" w:cs="Times New Roman"/>
          <w:i/>
        </w:rPr>
        <w:t xml:space="preserve">. Birsa Munda ne khud Isai missionary aur </w:t>
      </w:r>
      <w:proofErr w:type="spellStart"/>
      <w:r>
        <w:rPr>
          <w:rFonts w:ascii="Times New Roman" w:eastAsia="Times New Roman" w:hAnsi="Times New Roman" w:cs="Times New Roman"/>
          <w:i/>
        </w:rPr>
        <w:t>dharmantaran</w:t>
      </w:r>
      <w:proofErr w:type="spellEnd"/>
      <w:r>
        <w:rPr>
          <w:rFonts w:ascii="Times New Roman" w:eastAsia="Times New Roman" w:hAnsi="Times New Roman" w:cs="Times New Roman"/>
          <w:i/>
        </w:rPr>
        <w:t xml:space="preserve"> ka </w:t>
      </w:r>
      <w:proofErr w:type="spellStart"/>
      <w:r>
        <w:rPr>
          <w:rFonts w:ascii="Times New Roman" w:eastAsia="Times New Roman" w:hAnsi="Times New Roman" w:cs="Times New Roman"/>
          <w:i/>
        </w:rPr>
        <w:t>virodh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kiya</w:t>
      </w:r>
      <w:proofErr w:type="spellEnd"/>
      <w:r>
        <w:rPr>
          <w:rFonts w:ascii="Times New Roman" w:eastAsia="Times New Roman" w:hAnsi="Times New Roman" w:cs="Times New Roman"/>
          <w:i/>
        </w:rPr>
        <w:t xml:space="preserve"> jo </w:t>
      </w:r>
      <w:proofErr w:type="spellStart"/>
      <w:r>
        <w:rPr>
          <w:rFonts w:ascii="Times New Roman" w:eastAsia="Times New Roman" w:hAnsi="Times New Roman" w:cs="Times New Roman"/>
          <w:i/>
        </w:rPr>
        <w:t>angrezon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ke</w:t>
      </w:r>
      <w:proofErr w:type="spellEnd"/>
      <w:r>
        <w:rPr>
          <w:rFonts w:ascii="Times New Roman" w:eastAsia="Times New Roman" w:hAnsi="Times New Roman" w:cs="Times New Roman"/>
          <w:i/>
        </w:rPr>
        <w:t xml:space="preserve"> agent they. Wo </w:t>
      </w:r>
      <w:proofErr w:type="spellStart"/>
      <w:r>
        <w:rPr>
          <w:rFonts w:ascii="Times New Roman" w:eastAsia="Times New Roman" w:hAnsi="Times New Roman" w:cs="Times New Roman"/>
          <w:i/>
        </w:rPr>
        <w:t>desh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ke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sath</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sath</w:t>
      </w:r>
      <w:proofErr w:type="spellEnd"/>
      <w:r>
        <w:rPr>
          <w:rFonts w:ascii="Times New Roman" w:eastAsia="Times New Roman" w:hAnsi="Times New Roman" w:cs="Times New Roman"/>
          <w:i/>
        </w:rPr>
        <w:t xml:space="preserve"> Hindu </w:t>
      </w:r>
      <w:proofErr w:type="spellStart"/>
      <w:r>
        <w:rPr>
          <w:rFonts w:ascii="Times New Roman" w:eastAsia="Times New Roman" w:hAnsi="Times New Roman" w:cs="Times New Roman"/>
          <w:i/>
        </w:rPr>
        <w:t>dharm</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ke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bhi</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yoddha</w:t>
      </w:r>
      <w:proofErr w:type="spellEnd"/>
      <w:r>
        <w:rPr>
          <w:rFonts w:ascii="Times New Roman" w:eastAsia="Times New Roman" w:hAnsi="Times New Roman" w:cs="Times New Roman"/>
          <w:i/>
        </w:rPr>
        <w:t xml:space="preserve"> hain.</w:t>
      </w:r>
      <w:r>
        <w:rPr>
          <w:rFonts w:ascii="Times New Roman" w:eastAsia="Times New Roman" w:hAnsi="Times New Roman" w:cs="Times New Roman"/>
        </w:rPr>
        <w:t xml:space="preserve"> </w:t>
      </w:r>
      <w:r>
        <w:rPr>
          <w:rFonts w:ascii="Times New Roman" w:eastAsia="Times New Roman" w:hAnsi="Times New Roman" w:cs="Times New Roman"/>
          <w:i/>
        </w:rPr>
        <w:t>(The tribal society has always followed Hindu rituals. Birsa Munda himself opposed these missionaries and religious leaders who were British agents. He is a warrior not only for the country but also for the Hindu religion.)</w:t>
      </w:r>
      <w:r>
        <w:rPr>
          <w:rFonts w:ascii="Times New Roman" w:eastAsia="Times New Roman" w:hAnsi="Times New Roman" w:cs="Times New Roman"/>
        </w:rPr>
        <w:t xml:space="preserve"> The projection of Birsa as a</w:t>
      </w:r>
      <w:r>
        <w:rPr>
          <w:rFonts w:ascii="Times New Roman" w:eastAsia="Times New Roman" w:hAnsi="Times New Roman" w:cs="Times New Roman"/>
          <w:i/>
        </w:rPr>
        <w:t xml:space="preserve"> dharma </w:t>
      </w:r>
      <w:proofErr w:type="spellStart"/>
      <w:r>
        <w:rPr>
          <w:rFonts w:ascii="Times New Roman" w:eastAsia="Times New Roman" w:hAnsi="Times New Roman" w:cs="Times New Roman"/>
          <w:i/>
        </w:rPr>
        <w:t>yoddha</w:t>
      </w:r>
      <w:proofErr w:type="spellEnd"/>
      <w:r>
        <w:rPr>
          <w:rFonts w:ascii="Times New Roman" w:eastAsia="Times New Roman" w:hAnsi="Times New Roman" w:cs="Times New Roman"/>
        </w:rPr>
        <w:t xml:space="preserve"> is recursive through a mix of writings, speeches, and legends woven around the life of Birsa Munda. The </w:t>
      </w:r>
      <w:proofErr w:type="spellStart"/>
      <w:r>
        <w:rPr>
          <w:rFonts w:ascii="Times New Roman" w:eastAsia="Times New Roman" w:hAnsi="Times New Roman" w:cs="Times New Roman"/>
        </w:rPr>
        <w:t>mythicopolitical</w:t>
      </w:r>
      <w:proofErr w:type="spellEnd"/>
      <w:r>
        <w:rPr>
          <w:rFonts w:ascii="Times New Roman" w:eastAsia="Times New Roman" w:hAnsi="Times New Roman" w:cs="Times New Roman"/>
        </w:rPr>
        <w:t xml:space="preserve"> antecedents of Birsa’s life have been present in the social milieu of tribals (Chandra, 2024), but it is yoked with the Hindu religious ethos to reinforce his Hindu lineage (</w:t>
      </w:r>
      <w:r>
        <w:rPr>
          <w:rFonts w:ascii="Times New Roman" w:eastAsia="Times New Roman" w:hAnsi="Times New Roman" w:cs="Times New Roman"/>
          <w:i/>
        </w:rPr>
        <w:t>Sanatan</w:t>
      </w:r>
      <w:r>
        <w:rPr>
          <w:rFonts w:ascii="Times New Roman" w:eastAsia="Times New Roman" w:hAnsi="Times New Roman" w:cs="Times New Roman"/>
        </w:rPr>
        <w:t>, as usually called in place of Hinduism). VKA presents his views towards banning alcohol and advocating for vegetarianism, emanating from the influence of Vaishnavism. This gives Birsa a remarkable significance as he bears the imprints of an ideal bioethical body, which Hindu Nationalism wishes to build in tribals. Strict vegetarianism, non-consumption of alcohol, non-animism, etc, remain its important markers (Alder, 2018).</w:t>
      </w:r>
    </w:p>
    <w:p w14:paraId="531A4B7F" w14:textId="77777777" w:rsidR="003934E1" w:rsidRDefault="003934E1">
      <w:pPr>
        <w:spacing w:line="360" w:lineRule="auto"/>
        <w:rPr>
          <w:rFonts w:ascii="Times New Roman" w:eastAsia="Times New Roman" w:hAnsi="Times New Roman" w:cs="Times New Roman"/>
        </w:rPr>
      </w:pPr>
    </w:p>
    <w:p w14:paraId="32CF1A4F"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Among other events, VKA also organised an Akhil </w:t>
      </w:r>
      <w:proofErr w:type="spellStart"/>
      <w:r>
        <w:rPr>
          <w:rFonts w:ascii="Times New Roman" w:eastAsia="Times New Roman" w:hAnsi="Times New Roman" w:cs="Times New Roman"/>
        </w:rPr>
        <w:t>Bharatiya</w:t>
      </w:r>
      <w:proofErr w:type="spellEnd"/>
      <w:r>
        <w:rPr>
          <w:rFonts w:ascii="Times New Roman" w:eastAsia="Times New Roman" w:hAnsi="Times New Roman" w:cs="Times New Roman"/>
        </w:rPr>
        <w:t xml:space="preserve"> Sant </w:t>
      </w:r>
      <w:proofErr w:type="spellStart"/>
      <w:r>
        <w:rPr>
          <w:rFonts w:ascii="Times New Roman" w:eastAsia="Times New Roman" w:hAnsi="Times New Roman" w:cs="Times New Roman"/>
        </w:rPr>
        <w:t>Samagam</w:t>
      </w:r>
      <w:proofErr w:type="spellEnd"/>
      <w:r>
        <w:rPr>
          <w:rFonts w:ascii="Times New Roman" w:eastAsia="Times New Roman" w:hAnsi="Times New Roman" w:cs="Times New Roman"/>
        </w:rPr>
        <w:t xml:space="preserve"> in the Kumbh mela. The speakers included saints, ascetics and members of VKA. The </w:t>
      </w:r>
      <w:proofErr w:type="spellStart"/>
      <w:r>
        <w:rPr>
          <w:rFonts w:ascii="Times New Roman" w:eastAsia="Times New Roman" w:hAnsi="Times New Roman" w:cs="Times New Roman"/>
        </w:rPr>
        <w:t>religiocultural</w:t>
      </w:r>
      <w:proofErr w:type="spellEnd"/>
      <w:r>
        <w:rPr>
          <w:rFonts w:ascii="Times New Roman" w:eastAsia="Times New Roman" w:hAnsi="Times New Roman" w:cs="Times New Roman"/>
        </w:rPr>
        <w:t xml:space="preserve"> significance of Kumbh and its role in uniting the Sanatan dharma were highlighted in the event. Saints advocated for a continued interaction between the Hindus and </w:t>
      </w:r>
      <w:proofErr w:type="spellStart"/>
      <w:r>
        <w:rPr>
          <w:rFonts w:ascii="Times New Roman" w:eastAsia="Times New Roman" w:hAnsi="Times New Roman" w:cs="Times New Roman"/>
        </w:rPr>
        <w:t>Janjati</w:t>
      </w:r>
      <w:proofErr w:type="spellEnd"/>
      <w:r>
        <w:rPr>
          <w:rFonts w:ascii="Times New Roman" w:eastAsia="Times New Roman" w:hAnsi="Times New Roman" w:cs="Times New Roman"/>
        </w:rPr>
        <w:t xml:space="preserve"> Samaj, claiming that the loss of interaction allows missionaries to lure the tribals for conversion. The </w:t>
      </w:r>
      <w:r>
        <w:rPr>
          <w:rFonts w:ascii="Times New Roman" w:eastAsia="Times New Roman" w:hAnsi="Times New Roman" w:cs="Times New Roman"/>
        </w:rPr>
        <w:lastRenderedPageBreak/>
        <w:t xml:space="preserve">role of Birsa Munda in opposing the Christian Missionaries and exposing their plot of illicit conversion was highlighted while alerting the </w:t>
      </w:r>
      <w:proofErr w:type="spellStart"/>
      <w:r>
        <w:rPr>
          <w:rFonts w:ascii="Times New Roman" w:eastAsia="Times New Roman" w:hAnsi="Times New Roman" w:cs="Times New Roman"/>
        </w:rPr>
        <w:t>Janjati</w:t>
      </w:r>
      <w:proofErr w:type="spellEnd"/>
      <w:r>
        <w:rPr>
          <w:rFonts w:ascii="Times New Roman" w:eastAsia="Times New Roman" w:hAnsi="Times New Roman" w:cs="Times New Roman"/>
        </w:rPr>
        <w:t xml:space="preserve"> Samaj about its continuity. Birsa came as a reference to materialise the sociopolitical unity of Hindus and tribals in opposition to Christians. In the language of Hindu nationalists, Birsa’s opposition to the Missionaries has been deliberately conflated with his faith in Hinduism. Therefore, the act of conversion is perceived as an act of converting tribals from Hindu to Christianity. As many scholars have noted, there has been intercultural interaction, but Adivasis have not been Hindus (</w:t>
      </w: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2009) and also question the role of census operations in the administrative shaping of tribal identity and Hindus (Sundar, 2000). Overall, the forms and patterns of Birsa Munda’s appropriation by Hindu Nationalists and their strategic deployment in the Mela illustrate the functional importance of Birsa’s legacy. The marked presence and display of Birsa, be it in poster, statue, statement or memory, symbolises how Birsa emerges as a crucial actor in anchoring Hindutva’s consolidation in the tribal community.</w:t>
      </w:r>
    </w:p>
    <w:p w14:paraId="4E311400" w14:textId="77777777" w:rsidR="003934E1" w:rsidRDefault="003934E1">
      <w:pPr>
        <w:spacing w:line="360" w:lineRule="auto"/>
        <w:rPr>
          <w:rFonts w:ascii="Times New Roman" w:eastAsia="Times New Roman" w:hAnsi="Times New Roman" w:cs="Times New Roman"/>
        </w:rPr>
      </w:pPr>
    </w:p>
    <w:p w14:paraId="4BD932E5" w14:textId="77777777" w:rsidR="003934E1" w:rsidRDefault="003934E1">
      <w:pPr>
        <w:spacing w:line="360" w:lineRule="auto"/>
        <w:rPr>
          <w:rFonts w:ascii="Times New Roman" w:eastAsia="Times New Roman" w:hAnsi="Times New Roman" w:cs="Times New Roman"/>
        </w:rPr>
      </w:pPr>
    </w:p>
    <w:p w14:paraId="66824E6F" w14:textId="77777777" w:rsidR="003934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Birsa arrives in Delhi: the nationalist iconography of Birsa Munda.</w:t>
      </w:r>
    </w:p>
    <w:p w14:paraId="3007F0F6"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Hindu nationalism, spearheaded by </w:t>
      </w:r>
      <w:proofErr w:type="spellStart"/>
      <w:r>
        <w:rPr>
          <w:rFonts w:ascii="Times New Roman" w:eastAsia="Times New Roman" w:hAnsi="Times New Roman" w:cs="Times New Roman"/>
        </w:rPr>
        <w:t>Rashtriya</w:t>
      </w:r>
      <w:proofErr w:type="spellEnd"/>
      <w:r>
        <w:rPr>
          <w:rFonts w:ascii="Times New Roman" w:eastAsia="Times New Roman" w:hAnsi="Times New Roman" w:cs="Times New Roman"/>
        </w:rPr>
        <w:t xml:space="preserve"> Swayamsevak Sangh (RSS), has been in actual pursuit of making India an ethnonational Hindu nation against the plural and secular credentials premised in the constitution (Andersen &amp; Damle 1987; Hansen, 1999; Bhatt 2001). This ethnic unity and Hindu culture were premised on the common origin and conceptual framing of </w:t>
      </w:r>
      <w:proofErr w:type="spellStart"/>
      <w:r>
        <w:rPr>
          <w:rFonts w:ascii="Times New Roman" w:eastAsia="Times New Roman" w:hAnsi="Times New Roman" w:cs="Times New Roman"/>
        </w:rPr>
        <w:t>pitribhoomi</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punyabhoomi</w:t>
      </w:r>
      <w:proofErr w:type="spellEnd"/>
      <w:r>
        <w:rPr>
          <w:rFonts w:ascii="Times New Roman" w:eastAsia="Times New Roman" w:hAnsi="Times New Roman" w:cs="Times New Roman"/>
        </w:rPr>
        <w:t xml:space="preserve"> as </w:t>
      </w:r>
      <w:proofErr w:type="spellStart"/>
      <w:r>
        <w:rPr>
          <w:rFonts w:ascii="Times New Roman" w:eastAsia="Times New Roman" w:hAnsi="Times New Roman" w:cs="Times New Roman"/>
        </w:rPr>
        <w:t>qualificatory</w:t>
      </w:r>
      <w:proofErr w:type="spellEnd"/>
      <w:r>
        <w:rPr>
          <w:rFonts w:ascii="Times New Roman" w:eastAsia="Times New Roman" w:hAnsi="Times New Roman" w:cs="Times New Roman"/>
        </w:rPr>
        <w:t xml:space="preserve"> prisms (Sharma, 2004). </w:t>
      </w:r>
      <w:proofErr w:type="spellStart"/>
      <w:r>
        <w:rPr>
          <w:rFonts w:ascii="Times New Roman" w:eastAsia="Times New Roman" w:hAnsi="Times New Roman" w:cs="Times New Roman"/>
        </w:rPr>
        <w:t>Jaffrelot</w:t>
      </w:r>
      <w:proofErr w:type="spellEnd"/>
      <w:r>
        <w:rPr>
          <w:rFonts w:ascii="Times New Roman" w:eastAsia="Times New Roman" w:hAnsi="Times New Roman" w:cs="Times New Roman"/>
        </w:rPr>
        <w:t xml:space="preserve"> suggests that the orientalist knowledge tradition was reworked to produce Hindus sharing a common racial origin, which postulated a description of India’s Hindu population as linked through territory, culture, and race (</w:t>
      </w:r>
      <w:proofErr w:type="spellStart"/>
      <w:r>
        <w:rPr>
          <w:rFonts w:ascii="Times New Roman" w:eastAsia="Times New Roman" w:hAnsi="Times New Roman" w:cs="Times New Roman"/>
        </w:rPr>
        <w:t>Jaffrelot</w:t>
      </w:r>
      <w:proofErr w:type="spellEnd"/>
      <w:r>
        <w:rPr>
          <w:rFonts w:ascii="Times New Roman" w:eastAsia="Times New Roman" w:hAnsi="Times New Roman" w:cs="Times New Roman"/>
        </w:rPr>
        <w:t>, 2011). Hindu Nationalists relied heavily on social elites for political support, who found their interest synchronous with their agenda (</w:t>
      </w:r>
      <w:proofErr w:type="spellStart"/>
      <w:r>
        <w:rPr>
          <w:rFonts w:ascii="Times New Roman" w:eastAsia="Times New Roman" w:hAnsi="Times New Roman" w:cs="Times New Roman"/>
        </w:rPr>
        <w:t>Jaffrelot</w:t>
      </w:r>
      <w:proofErr w:type="spellEnd"/>
      <w:r>
        <w:rPr>
          <w:rFonts w:ascii="Times New Roman" w:eastAsia="Times New Roman" w:hAnsi="Times New Roman" w:cs="Times New Roman"/>
        </w:rPr>
        <w:t xml:space="preserve">, 2011). However, with evolution and changes in the sociopolitical dynamics and the need for an active and deeper penetration in the Hindu society, the RSS was forced to change its attitude and reconfigure its strategy and functioning oriented towards the non-elite Hindu community (Dubey, 2018). </w:t>
      </w:r>
    </w:p>
    <w:p w14:paraId="3BB3D1C7"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change from a character-building organisation to a social service organisation committed to cultural revival and Hindu unity shaped the further outreach of RSS. </w:t>
      </w:r>
    </w:p>
    <w:p w14:paraId="7C8392E9"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At the outset, RSS redefined itself vis-à-vis the evolving pattern of politics and changing contours of social solidarity due to the rise of subaltern community consciousness and went for social outreach of communities and groups long absent in their political narrative. This </w:t>
      </w:r>
      <w:r>
        <w:rPr>
          <w:rFonts w:ascii="Times New Roman" w:eastAsia="Times New Roman" w:hAnsi="Times New Roman" w:cs="Times New Roman"/>
        </w:rPr>
        <w:lastRenderedPageBreak/>
        <w:t>was invariably directed towards a diverse set of icons and heroes, many of whom did not fit in the ideological corpus of Hindu Nationalism. Some have also been their ideological adversary, whose politics sharply contrasted with the Hindu Nationalist frame of thinking. However, such appropriations have been taking place with meticulous planning wherein specific ideologically aligned ideas are framed and coalesced to position them as a typecast of Hindu Nationalist ideas (</w:t>
      </w:r>
      <w:proofErr w:type="spellStart"/>
      <w:r>
        <w:rPr>
          <w:rFonts w:ascii="Times New Roman" w:eastAsia="Times New Roman" w:hAnsi="Times New Roman" w:cs="Times New Roman"/>
        </w:rPr>
        <w:t>Teltumbde</w:t>
      </w:r>
      <w:proofErr w:type="spellEnd"/>
      <w:r>
        <w:rPr>
          <w:rFonts w:ascii="Times New Roman" w:eastAsia="Times New Roman" w:hAnsi="Times New Roman" w:cs="Times New Roman"/>
        </w:rPr>
        <w:t>, 2005). While doing so, aspects divergent or contradictory are overlooked or unengaged. This facilitates Hindutva politics in bringing such icons under the umbrella of Hindu Nationalism and making inroads into the communities of such icons. There has been a long history of depicting Tribal and Dalit heroes as protectors of Hinduism by highlighting their resistance against Mughal imperial expansion in the binary of ethnic Hindu vs Muslim/Christian struggle. The same goes for a shift in RSS’s attitude towards Ambedkar and Gandhi. In the past, RSS was reluctant to bring such leaders into its pantheon. However, the change in the dynamics of political mobilisation and the desire for broader outreach compelled them to engage in this strategic posturing. These symbolic gestures have assisted Hindutva’s political consolidation in these communities and entrenched itself into political power (</w:t>
      </w:r>
      <w:proofErr w:type="spellStart"/>
      <w:r>
        <w:rPr>
          <w:rFonts w:ascii="Times New Roman" w:eastAsia="Times New Roman" w:hAnsi="Times New Roman" w:cs="Times New Roman"/>
        </w:rPr>
        <w:t>Jaffrelot</w:t>
      </w:r>
      <w:proofErr w:type="spellEnd"/>
      <w:r>
        <w:rPr>
          <w:rFonts w:ascii="Times New Roman" w:eastAsia="Times New Roman" w:hAnsi="Times New Roman" w:cs="Times New Roman"/>
        </w:rPr>
        <w:t>, 2019). This sort of engagement comes in multifarious forms. On the one hand, occasional celebrations of birth and death anniversaries of such icons are celebrated as grand events, wherein they are remembered for their contribution to nation-building, albeit in a patronising form. This would also include detailing the ideological convergence outlined through shared or proximate thoughts on specific issues (HT, Deccan Herald).</w:t>
      </w:r>
    </w:p>
    <w:p w14:paraId="5EA7E9C2"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Another form of appropriation provides for the creation of sites and material structures in their memory. This involves establishing statutes, changing names, constructing museums, naming schemes, etc (Nielsen, 2025). This form of appropriation is primarily done by the political regimes as it requires the deployment of state resources and constitutional validation. Such acts are often symbolic of the accommodation strategy devised by political parties to manage support from the competing social communities. Recently, Hindutva politics has demonstrated political outreach by affirming the prominence of community heroes of numerous caste groups. Birsa Munda also appears in this long list, recently receiving overwhelming attention and acquiring enormous political significance. He is at the centre of Hindutva’s agenda of tribal outreach, particularly in Central India. The appropriative iconography of Birsa Minda explicates the changing contours of political mobilisation and how the ideological intervention actively shapes forms of political imagination about an icon.</w:t>
      </w:r>
    </w:p>
    <w:p w14:paraId="6ABF8DB7"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I take the case of Birsa Munda’s recent statue installation and renaming of the chowk in Delhi to illustrate his right-wing appropriative iconography. On the eve of Birsa Munda's birth anniversary in 2021, the Modi government declared it to be celebrated as </w:t>
      </w:r>
      <w:proofErr w:type="spellStart"/>
      <w:r>
        <w:rPr>
          <w:rFonts w:ascii="Times New Roman" w:eastAsia="Times New Roman" w:hAnsi="Times New Roman" w:cs="Times New Roman"/>
        </w:rPr>
        <w:t>Janjati</w:t>
      </w:r>
      <w:proofErr w:type="spellEnd"/>
      <w:r>
        <w:rPr>
          <w:rFonts w:ascii="Times New Roman" w:eastAsia="Times New Roman" w:hAnsi="Times New Roman" w:cs="Times New Roman"/>
        </w:rPr>
        <w:t xml:space="preserve"> Gaurav Diwas. The announcement was made to reinstate the lost glory of Birsa Munda, the icon of tribal resistance against British Imperialism (PIB, 2021). It is part of revisiting the nationalist historiography and placing the lesser-known, forgotten or deliberately neglected heroes in the canon of nationalist historiography. Echoing the long-term demand made by RSS for reformulating the history of India’s anticolonial struggle and national icons, the Modi government has emphatically promoted governmental projects and initiatives to celebrate the unsung heroes of India’s independence struggle and provide them their due place in the register of nationalist iconography.</w:t>
      </w:r>
    </w:p>
    <w:p w14:paraId="51ACA84E"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celebration of the same in 2024 came with a surprising announcement of a 20-foot statue installation of Birsa Munda at Sarai Kale Khan. Furthermore, the chowk's name was to be changed to Birsa Munda Chowk (PIB, 2024). The event was announced as part of the </w:t>
      </w:r>
      <w:proofErr w:type="spellStart"/>
      <w:r>
        <w:rPr>
          <w:rFonts w:ascii="Times New Roman" w:eastAsia="Times New Roman" w:hAnsi="Times New Roman" w:cs="Times New Roman"/>
        </w:rPr>
        <w:t>Janjati</w:t>
      </w:r>
      <w:proofErr w:type="spellEnd"/>
      <w:r>
        <w:rPr>
          <w:rFonts w:ascii="Times New Roman" w:eastAsia="Times New Roman" w:hAnsi="Times New Roman" w:cs="Times New Roman"/>
        </w:rPr>
        <w:t xml:space="preserve"> Gaurav Diwas initiative by the Delhi Government. The statue was installed in Bamboo </w:t>
      </w:r>
      <w:proofErr w:type="spellStart"/>
      <w:r>
        <w:rPr>
          <w:rFonts w:ascii="Times New Roman" w:eastAsia="Times New Roman" w:hAnsi="Times New Roman" w:cs="Times New Roman"/>
        </w:rPr>
        <w:t>Bansera</w:t>
      </w:r>
      <w:proofErr w:type="spellEnd"/>
      <w:r>
        <w:rPr>
          <w:rFonts w:ascii="Times New Roman" w:eastAsia="Times New Roman" w:hAnsi="Times New Roman" w:cs="Times New Roman"/>
        </w:rPr>
        <w:t xml:space="preserve"> Park in South-east Delhi. The official statement says the location was carefully chosen for the installation to achieve wider spectatorship and footfall. The statue is near a multimodal transport hub as a convergence point of different transport modes (</w:t>
      </w:r>
      <w:hyperlink r:id="rId65">
        <w:r w:rsidR="003934E1">
          <w:rPr>
            <w:rFonts w:ascii="Times New Roman" w:eastAsia="Times New Roman" w:hAnsi="Times New Roman" w:cs="Times New Roman"/>
            <w:u w:val="single"/>
          </w:rPr>
          <w:t>Pioneer</w:t>
        </w:r>
      </w:hyperlink>
      <w:r>
        <w:rPr>
          <w:rFonts w:ascii="Times New Roman" w:eastAsia="Times New Roman" w:hAnsi="Times New Roman" w:cs="Times New Roman"/>
        </w:rPr>
        <w:t xml:space="preserve"> </w:t>
      </w:r>
      <w:hyperlink r:id="rId66">
        <w:r w:rsidR="003934E1">
          <w:rPr>
            <w:rFonts w:ascii="Times New Roman" w:eastAsia="Times New Roman" w:hAnsi="Times New Roman" w:cs="Times New Roman"/>
            <w:u w:val="single"/>
          </w:rPr>
          <w:t>Print</w:t>
        </w:r>
      </w:hyperlink>
      <w:r>
        <w:rPr>
          <w:rFonts w:ascii="Times New Roman" w:eastAsia="Times New Roman" w:hAnsi="Times New Roman" w:cs="Times New Roman"/>
        </w:rPr>
        <w:t>). Union Home Minister Amit Shah unveiled and celebrated this historic decision to build the statue. Hailing Birsa Munda as an eminent freedom fighter, Shah revered Munda’s fight against the British expropriatory regime and the alien Christian faith engaged in conversion. He also appreciated multiple welfare initiatives of the government.</w:t>
      </w:r>
    </w:p>
    <w:p w14:paraId="67C197B8"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However, the name change of Sarai Kale Khan to Birsa Munda Chowk was riddled with controversy. The then AAP-led Delhi government questioned the basis of name changing and found it was being done in violation of the legal provisions. They said the name-changing guidelines of the National Capital Territory were not followed). The decision came when the Jharkhand legislative assembly election was underway, in which the BJP-led NDA and the JMM-led UPA locked horns. Political parties criticised this act and questioned its timing. It was interpreted as an act to woo the tribal voters in the elections, who had turned against the Hindu Nationalist bogey of the BJP in the recent Lok Sabha election. Hemant Soren said the act of name change insults Birsa Munda’s legacy and the whole tribal community. He highlighted the confusion about the place, which has been renamed, and questioned if it was a small bus stop which has been renamed. He asked if the prominent Central Vista could be renamed Birsa Munda (</w:t>
      </w:r>
      <w:hyperlink r:id="rId67">
        <w:r w:rsidR="003934E1">
          <w:rPr>
            <w:rFonts w:ascii="Times New Roman" w:eastAsia="Times New Roman" w:hAnsi="Times New Roman" w:cs="Times New Roman"/>
            <w:u w:val="single"/>
          </w:rPr>
          <w:t>National Herald</w:t>
        </w:r>
      </w:hyperlink>
      <w:r>
        <w:rPr>
          <w:rFonts w:ascii="Times New Roman" w:eastAsia="Times New Roman" w:hAnsi="Times New Roman" w:cs="Times New Roman"/>
        </w:rPr>
        <w:t>).</w:t>
      </w:r>
    </w:p>
    <w:p w14:paraId="08E65074" w14:textId="77777777" w:rsidR="003934E1" w:rsidRDefault="003934E1">
      <w:pPr>
        <w:spacing w:line="360" w:lineRule="auto"/>
        <w:rPr>
          <w:rFonts w:ascii="Times New Roman" w:eastAsia="Times New Roman" w:hAnsi="Times New Roman" w:cs="Times New Roman"/>
        </w:rPr>
      </w:pPr>
    </w:p>
    <w:p w14:paraId="06A9271E"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episode, however, requires a larger scrutiny of the aggressive name-changing politics accompanying the newer form of Governmental Hindutva as conceptualised by Srirupa Roy and Thomas Hansen (Roy and Hansen, 2022). Since state power has exemplified the capacity of Hindutva politics and bolstered its propagation, its contemporary mobilisation heavily relies on state policies, where the appropriation/accommodation of a community happens through the exclusion/erasure of another. Mostly, the Islamic names, cultural history and iconography populate the latter. At times, it is related to Christianity too (Nilsen, 2025). Another interesting aspect of such development is the agenda of transforming the significance of places through cultural replacement conjoined with iconography. The aforementioned event of Birsa Munda Chowk follows the same template of changing the existing name symbolising Islamic heritage of the city and substituting it with an alternative resembling Hindu identity. Hindu nationalist politics of crafting public spaces with Hindu culture has gained an unprecedented pace in current times, and this name change does the crucial task of cultural appropriation of Subaltern identity in simultaneity with the erasure of Islamic identity. This complex formation of selective iconography allows Hindutva to conjoin the epithet of tribal cultural appropriation as a substitute for Islamic history </w:t>
      </w:r>
    </w:p>
    <w:p w14:paraId="224E6D7C" w14:textId="77777777" w:rsidR="003934E1" w:rsidRDefault="003934E1">
      <w:pPr>
        <w:spacing w:line="360" w:lineRule="auto"/>
        <w:rPr>
          <w:rFonts w:ascii="Times New Roman" w:eastAsia="Times New Roman" w:hAnsi="Times New Roman" w:cs="Times New Roman"/>
        </w:rPr>
      </w:pPr>
    </w:p>
    <w:p w14:paraId="35CB01BE" w14:textId="77777777" w:rsidR="003934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Recent history of Hindutva tribal outreach:</w:t>
      </w:r>
    </w:p>
    <w:p w14:paraId="480EABBE"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recent past of Indian politics is demonstrative of the new zeal with which Hindu Nationalism has received wider reception beyond its principal constituent. This marked a decisive turn in the expansion of Hindutva, through its evolutionary mechanism of non-elite caste outreach through varied tropes of intervening into the material and non-material domains (Thachil, 2014). This modern variant's astonishing capability of mobilising the marginalised caste groups towards its logic has been termed as Subaltern Hindutva by many scholars (Singh, 2021). Not debating the viability of such neologisms in capturing the reality of such political mobilisation, it is plausible to engage with the concerted attempts of the Hindutva outreach and the formation of Hindutva’s vote bloc in the margins. As the process suggests, the success of Hindutva politics could be seen as a manifestation of their gradual penetration into these communities. The subsidiary organisations of RSS vastly contribute to such expansion through their arduous groundwork and even present visibility in the sociocultural habitus of these communities (Choubey, 2019). </w:t>
      </w:r>
    </w:p>
    <w:p w14:paraId="75DF6A11"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Even before coming to state power and gaining this unprecedented political hegemony, the Sangh Parivar did the groundwork for Hindutva ascendance in tribal pockets. VKA has been </w:t>
      </w:r>
      <w:r>
        <w:rPr>
          <w:rFonts w:ascii="Times New Roman" w:eastAsia="Times New Roman" w:hAnsi="Times New Roman" w:cs="Times New Roman"/>
        </w:rPr>
        <w:lastRenderedPageBreak/>
        <w:t>playing a pivotal role in such outreach amongst the tribals. It involves a mix of social, cultural and material outreach. One such is shown in the previous section. Since 2014, VKA has been enjoying a cordial relationship with state power. It has been highly influential in shaping the government’s policies regarding tribals during the BJP’s rule. This could be understood from the fact that many government initiatives and programmes implemented in recent years have adopted VKA’s ideas. Initiatives, including Eklavya Model Residential Schools, Aadi Mahotsav to Tribal Research Institutes, etc, are either based on VKA’s model of working or the demands they have been pursuing (</w:t>
      </w:r>
      <w:hyperlink r:id="rId68">
        <w:r w:rsidR="003934E1">
          <w:rPr>
            <w:rFonts w:ascii="Times New Roman" w:eastAsia="Times New Roman" w:hAnsi="Times New Roman" w:cs="Times New Roman"/>
            <w:u w:val="single"/>
          </w:rPr>
          <w:t>PIB</w:t>
        </w:r>
      </w:hyperlink>
      <w:r>
        <w:rPr>
          <w:rFonts w:ascii="Times New Roman" w:eastAsia="Times New Roman" w:hAnsi="Times New Roman" w:cs="Times New Roman"/>
        </w:rPr>
        <w:t xml:space="preserve">). Many VKA activists have been given essential posts in places like the National Commission for Scheduled Tribes and even made Chief Ministers recently (Choubey, 2025), and numerous collaborations through </w:t>
      </w:r>
      <w:proofErr w:type="spellStart"/>
      <w:r>
        <w:rPr>
          <w:rFonts w:ascii="Times New Roman" w:eastAsia="Times New Roman" w:hAnsi="Times New Roman" w:cs="Times New Roman"/>
        </w:rPr>
        <w:t>MoUs</w:t>
      </w:r>
      <w:proofErr w:type="spellEnd"/>
      <w:r>
        <w:rPr>
          <w:rFonts w:ascii="Times New Roman" w:eastAsia="Times New Roman" w:hAnsi="Times New Roman" w:cs="Times New Roman"/>
        </w:rPr>
        <w:t xml:space="preserve"> have also started (</w:t>
      </w:r>
      <w:hyperlink r:id="rId69">
        <w:r w:rsidR="003934E1">
          <w:rPr>
            <w:rFonts w:ascii="Times New Roman" w:eastAsia="Times New Roman" w:hAnsi="Times New Roman" w:cs="Times New Roman"/>
            <w:u w:val="single"/>
          </w:rPr>
          <w:t>PIB</w:t>
        </w:r>
      </w:hyperlink>
      <w:r>
        <w:rPr>
          <w:rFonts w:ascii="Times New Roman" w:eastAsia="Times New Roman" w:hAnsi="Times New Roman" w:cs="Times New Roman"/>
        </w:rPr>
        <w:t xml:space="preserve">). Another influential episode in this line is the recent announcement on the Union Civil Code (UCC), where the government kept the tribal community outside its purview. Since the UCC has been in debate, VKA has constantly pressed for the exclusion of tribals. VKA chief later thanked the government for excluding tribals from UCC. </w:t>
      </w:r>
    </w:p>
    <w:p w14:paraId="16F50A69"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VKA promotes Birsa Munda as a Bhagwan (god) who has resisted against British Rule and Christian Missionaries. Birsa is iconised as the defender of the Hindu religion amongst the </w:t>
      </w:r>
      <w:proofErr w:type="spellStart"/>
      <w:r>
        <w:rPr>
          <w:rFonts w:ascii="Times New Roman" w:eastAsia="Times New Roman" w:hAnsi="Times New Roman" w:cs="Times New Roman"/>
        </w:rPr>
        <w:t>Janjati</w:t>
      </w:r>
      <w:proofErr w:type="spellEnd"/>
      <w:r>
        <w:rPr>
          <w:rFonts w:ascii="Times New Roman" w:eastAsia="Times New Roman" w:hAnsi="Times New Roman" w:cs="Times New Roman"/>
        </w:rPr>
        <w:t xml:space="preserve"> by VKA and resisted the virulent conversion attempts by Missionaries (Van Bandhu, 2024). </w:t>
      </w:r>
    </w:p>
    <w:p w14:paraId="519D17C3"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To bring the converted back into the Hindu fold, </w:t>
      </w:r>
      <w:proofErr w:type="spellStart"/>
      <w:r>
        <w:rPr>
          <w:rFonts w:ascii="Times New Roman" w:eastAsia="Times New Roman" w:hAnsi="Times New Roman" w:cs="Times New Roman"/>
        </w:rPr>
        <w:t>gharwapasi</w:t>
      </w:r>
      <w:proofErr w:type="spellEnd"/>
      <w:r>
        <w:rPr>
          <w:rFonts w:ascii="Times New Roman" w:eastAsia="Times New Roman" w:hAnsi="Times New Roman" w:cs="Times New Roman"/>
        </w:rPr>
        <w:t xml:space="preserve"> (reconversion) becomes the ritualistic resort for Hindutva politics. In 2006, another organisation named </w:t>
      </w:r>
      <w:proofErr w:type="spellStart"/>
      <w:r>
        <w:rPr>
          <w:rFonts w:ascii="Times New Roman" w:eastAsia="Times New Roman" w:hAnsi="Times New Roman" w:cs="Times New Roman"/>
        </w:rPr>
        <w:t>Janjati</w:t>
      </w:r>
      <w:proofErr w:type="spellEnd"/>
      <w:r>
        <w:rPr>
          <w:rFonts w:ascii="Times New Roman" w:eastAsia="Times New Roman" w:hAnsi="Times New Roman" w:cs="Times New Roman"/>
        </w:rPr>
        <w:t xml:space="preserve"> Suraksha Manch (JSM), with an overt militant intent, was formed to accelerate the program of </w:t>
      </w:r>
      <w:proofErr w:type="spellStart"/>
      <w:r>
        <w:rPr>
          <w:rFonts w:ascii="Times New Roman" w:eastAsia="Times New Roman" w:hAnsi="Times New Roman" w:cs="Times New Roman"/>
        </w:rPr>
        <w:t>gharwapasi</w:t>
      </w:r>
      <w:proofErr w:type="spellEnd"/>
      <w:r>
        <w:rPr>
          <w:rFonts w:ascii="Times New Roman" w:eastAsia="Times New Roman" w:hAnsi="Times New Roman" w:cs="Times New Roman"/>
        </w:rPr>
        <w:t xml:space="preserve"> and delist the converted population from ST reservation benefits. In November 2022, the RSS chief Mohan Bhagwat went to </w:t>
      </w:r>
      <w:proofErr w:type="spellStart"/>
      <w:r>
        <w:rPr>
          <w:rFonts w:ascii="Times New Roman" w:eastAsia="Times New Roman" w:hAnsi="Times New Roman" w:cs="Times New Roman"/>
        </w:rPr>
        <w:t>Jashpur</w:t>
      </w:r>
      <w:proofErr w:type="spellEnd"/>
      <w:r>
        <w:rPr>
          <w:rFonts w:ascii="Times New Roman" w:eastAsia="Times New Roman" w:hAnsi="Times New Roman" w:cs="Times New Roman"/>
        </w:rPr>
        <w:t>, the headquarters of VKA, to celebrate Birsa Munda Jayanti. He inaugurated the statues of Birsa Munda and Dilip Singh Judeo (</w:t>
      </w:r>
      <w:hyperlink r:id="rId70">
        <w:r w:rsidR="003934E1">
          <w:rPr>
            <w:rFonts w:ascii="Times New Roman" w:eastAsia="Times New Roman" w:hAnsi="Times New Roman" w:cs="Times New Roman"/>
            <w:u w:val="single"/>
          </w:rPr>
          <w:t>Bhaskar</w:t>
        </w:r>
      </w:hyperlink>
      <w:r>
        <w:rPr>
          <w:rFonts w:ascii="Times New Roman" w:eastAsia="Times New Roman" w:hAnsi="Times New Roman" w:cs="Times New Roman"/>
        </w:rPr>
        <w:t xml:space="preserve">). Coming from the royal scion of </w:t>
      </w:r>
      <w:proofErr w:type="spellStart"/>
      <w:r>
        <w:rPr>
          <w:rFonts w:ascii="Times New Roman" w:eastAsia="Times New Roman" w:hAnsi="Times New Roman" w:cs="Times New Roman"/>
        </w:rPr>
        <w:t>Sarguja</w:t>
      </w:r>
      <w:proofErr w:type="spellEnd"/>
      <w:r>
        <w:rPr>
          <w:rFonts w:ascii="Times New Roman" w:eastAsia="Times New Roman" w:hAnsi="Times New Roman" w:cs="Times New Roman"/>
        </w:rPr>
        <w:t xml:space="preserve">, Judeo popularised the </w:t>
      </w:r>
      <w:proofErr w:type="spellStart"/>
      <w:r>
        <w:rPr>
          <w:rFonts w:ascii="Times New Roman" w:eastAsia="Times New Roman" w:hAnsi="Times New Roman" w:cs="Times New Roman"/>
        </w:rPr>
        <w:t>gharwapasi</w:t>
      </w:r>
      <w:proofErr w:type="spellEnd"/>
      <w:r>
        <w:rPr>
          <w:rFonts w:ascii="Times New Roman" w:eastAsia="Times New Roman" w:hAnsi="Times New Roman" w:cs="Times New Roman"/>
        </w:rPr>
        <w:t xml:space="preserve"> movement in his area and provided material support for expanding VKA. He was a BJP MP and a member of Atal Bihari </w:t>
      </w:r>
      <w:proofErr w:type="spellStart"/>
      <w:r>
        <w:rPr>
          <w:rFonts w:ascii="Times New Roman" w:eastAsia="Times New Roman" w:hAnsi="Times New Roman" w:cs="Times New Roman"/>
        </w:rPr>
        <w:t>Vajpayi’s</w:t>
      </w:r>
      <w:proofErr w:type="spellEnd"/>
      <w:r>
        <w:rPr>
          <w:rFonts w:ascii="Times New Roman" w:eastAsia="Times New Roman" w:hAnsi="Times New Roman" w:cs="Times New Roman"/>
        </w:rPr>
        <w:t xml:space="preserve"> cabinet (Choubey, 2025), whose contribution in </w:t>
      </w:r>
      <w:proofErr w:type="spellStart"/>
      <w:r>
        <w:rPr>
          <w:rFonts w:ascii="Times New Roman" w:eastAsia="Times New Roman" w:hAnsi="Times New Roman" w:cs="Times New Roman"/>
        </w:rPr>
        <w:t>Hinduising</w:t>
      </w:r>
      <w:proofErr w:type="spellEnd"/>
      <w:r>
        <w:rPr>
          <w:rFonts w:ascii="Times New Roman" w:eastAsia="Times New Roman" w:hAnsi="Times New Roman" w:cs="Times New Roman"/>
        </w:rPr>
        <w:t xml:space="preserve"> the tribals and rescuing them from the dangers of Christian Missionary induced conversion was outlined. By bringing Birsa Munda and Judeo together, RSS is trying to highlight a continuity and resonance in their projects. By tying the violent project of </w:t>
      </w:r>
      <w:proofErr w:type="spellStart"/>
      <w:r>
        <w:rPr>
          <w:rFonts w:ascii="Times New Roman" w:eastAsia="Times New Roman" w:hAnsi="Times New Roman" w:cs="Times New Roman"/>
        </w:rPr>
        <w:t>gharwapasi</w:t>
      </w:r>
      <w:proofErr w:type="spellEnd"/>
      <w:r>
        <w:rPr>
          <w:rFonts w:ascii="Times New Roman" w:eastAsia="Times New Roman" w:hAnsi="Times New Roman" w:cs="Times New Roman"/>
        </w:rPr>
        <w:t xml:space="preserve"> with Birsa Munda’s legacy of resistance, the Sangh attempts to garner legitimacy for their act. It also accords a symbolic cohesion between Munda’s resilient struggle against the missionaries and the Sangh's agenda of Hinduisation. As the Kumbh Mela episode illustrates how Munda’s brief association with </w:t>
      </w:r>
      <w:proofErr w:type="spellStart"/>
      <w:r>
        <w:rPr>
          <w:rFonts w:ascii="Times New Roman" w:eastAsia="Times New Roman" w:hAnsi="Times New Roman" w:cs="Times New Roman"/>
        </w:rPr>
        <w:t>Vaishanvism</w:t>
      </w:r>
      <w:proofErr w:type="spellEnd"/>
      <w:r>
        <w:rPr>
          <w:rFonts w:ascii="Times New Roman" w:eastAsia="Times New Roman" w:hAnsi="Times New Roman" w:cs="Times New Roman"/>
        </w:rPr>
        <w:t xml:space="preserve"> was selectively highlighted as a </w:t>
      </w:r>
      <w:r>
        <w:rPr>
          <w:rFonts w:ascii="Times New Roman" w:eastAsia="Times New Roman" w:hAnsi="Times New Roman" w:cs="Times New Roman"/>
        </w:rPr>
        <w:lastRenderedPageBreak/>
        <w:t xml:space="preserve">potent influence in shaping his future politics, something similar is observable here. RSS appears to project its heroes like Judeo and activities like </w:t>
      </w:r>
      <w:proofErr w:type="spellStart"/>
      <w:r>
        <w:rPr>
          <w:rFonts w:ascii="Times New Roman" w:eastAsia="Times New Roman" w:hAnsi="Times New Roman" w:cs="Times New Roman"/>
        </w:rPr>
        <w:t>gharwapasi</w:t>
      </w:r>
      <w:proofErr w:type="spellEnd"/>
      <w:r>
        <w:rPr>
          <w:rFonts w:ascii="Times New Roman" w:eastAsia="Times New Roman" w:hAnsi="Times New Roman" w:cs="Times New Roman"/>
        </w:rPr>
        <w:t xml:space="preserve"> as a forward march towards claiming the legacy of Birsa Munda.  </w:t>
      </w:r>
    </w:p>
    <w:p w14:paraId="12A587D5" w14:textId="77777777" w:rsidR="003934E1" w:rsidRDefault="003934E1">
      <w:pPr>
        <w:spacing w:line="360" w:lineRule="auto"/>
        <w:rPr>
          <w:rFonts w:ascii="Times New Roman" w:eastAsia="Times New Roman" w:hAnsi="Times New Roman" w:cs="Times New Roman"/>
        </w:rPr>
      </w:pPr>
    </w:p>
    <w:p w14:paraId="7358B0BF" w14:textId="77777777" w:rsidR="003934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BJP and statue politics</w:t>
      </w:r>
    </w:p>
    <w:p w14:paraId="2C817C55"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contemporary quest for political representation, inclusion and social dignity is deeply fused with modes of collective social remembrance. Statue politics have become a popular form of regime-led remembrance. Rahul Rao illustrates that the impetus of the current political life is registered through the making and the fall of statues. Kajri Jain suggests that the statue-making creates regimes of remembrance, which are pursued by political regimes across the spectrum (Jain, 2022). However, the Hindutva regime has increasingly instrumentalised politics of </w:t>
      </w:r>
      <w:proofErr w:type="spellStart"/>
      <w:r>
        <w:rPr>
          <w:rFonts w:ascii="Times New Roman" w:eastAsia="Times New Roman" w:hAnsi="Times New Roman" w:cs="Times New Roman"/>
        </w:rPr>
        <w:t>monumentalisation</w:t>
      </w:r>
      <w:proofErr w:type="spellEnd"/>
      <w:r>
        <w:rPr>
          <w:rFonts w:ascii="Times New Roman" w:eastAsia="Times New Roman" w:hAnsi="Times New Roman" w:cs="Times New Roman"/>
        </w:rPr>
        <w:t xml:space="preserve"> and statue-making to reconfigure the iconography in public spaces, thus shaping the community’s imaginings in the country. The same has happened with Birsa Munda and other tribal icons, whose increased presence in public spaces through statues and museums has shaped Hindutva’s political outreach amongst the tribals.</w:t>
      </w:r>
    </w:p>
    <w:p w14:paraId="7E8BA6C3"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announcement of </w:t>
      </w:r>
      <w:proofErr w:type="spellStart"/>
      <w:r>
        <w:rPr>
          <w:rFonts w:ascii="Times New Roman" w:eastAsia="Times New Roman" w:hAnsi="Times New Roman" w:cs="Times New Roman"/>
        </w:rPr>
        <w:t>Janjati</w:t>
      </w:r>
      <w:proofErr w:type="spellEnd"/>
      <w:r>
        <w:rPr>
          <w:rFonts w:ascii="Times New Roman" w:eastAsia="Times New Roman" w:hAnsi="Times New Roman" w:cs="Times New Roman"/>
        </w:rPr>
        <w:t xml:space="preserve"> Gaurav Diwas is intended to recognise the contribution of the tribal community to independence and celebrate their historical life. When celebrated for the first time in 2021, Birsa Munda Smriti Udyan Sah </w:t>
      </w:r>
      <w:proofErr w:type="spellStart"/>
      <w:r>
        <w:rPr>
          <w:rFonts w:ascii="Times New Roman" w:eastAsia="Times New Roman" w:hAnsi="Times New Roman" w:cs="Times New Roman"/>
        </w:rPr>
        <w:t>Swatantrata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Senani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Sangrahalay</w:t>
      </w:r>
      <w:proofErr w:type="spellEnd"/>
      <w:r>
        <w:rPr>
          <w:rFonts w:ascii="Times New Roman" w:eastAsia="Times New Roman" w:hAnsi="Times New Roman" w:cs="Times New Roman"/>
        </w:rPr>
        <w:t xml:space="preserve"> was inaugurated in Ranchi. Built in Ranchi Jail, where Birsa Munda was incarcerated and subsequently passed away, the place holds a magnitude of importance in remembering the struggle of Birsa Munda. The statue of Birsa Munda is 25 feet tall, while the other ten tribal icons were 9 feet tall. The inspiration for the statue came from the Gujarat government’s monumental feat of establishing the world’s largest statue, the Statue of Unity. </w:t>
      </w:r>
      <w:proofErr w:type="spellStart"/>
      <w:r>
        <w:rPr>
          <w:rFonts w:ascii="Times New Roman" w:eastAsia="Times New Roman" w:hAnsi="Times New Roman" w:cs="Times New Roman"/>
        </w:rPr>
        <w:t>Raghubar</w:t>
      </w:r>
      <w:proofErr w:type="spellEnd"/>
      <w:r>
        <w:rPr>
          <w:rFonts w:ascii="Times New Roman" w:eastAsia="Times New Roman" w:hAnsi="Times New Roman" w:cs="Times New Roman"/>
        </w:rPr>
        <w:t xml:space="preserve"> Das’s BJP government initially proposed building a 100-foot statue in 2018, but trimmed the size by 75 per cent to 25 feet later (</w:t>
      </w:r>
      <w:hyperlink r:id="rId71">
        <w:r w:rsidR="003934E1">
          <w:rPr>
            <w:rFonts w:ascii="Times New Roman" w:eastAsia="Times New Roman" w:hAnsi="Times New Roman" w:cs="Times New Roman"/>
            <w:u w:val="single"/>
          </w:rPr>
          <w:t>TOI</w:t>
        </w:r>
      </w:hyperlink>
      <w:r>
        <w:rPr>
          <w:rFonts w:ascii="Times New Roman" w:eastAsia="Times New Roman" w:hAnsi="Times New Roman" w:cs="Times New Roman"/>
        </w:rPr>
        <w:t xml:space="preserve">). </w:t>
      </w:r>
    </w:p>
    <w:p w14:paraId="4E897788"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In the event, Modi said it is giving back the honour to the revered and unsung heroes who waged a decisive fight for Jal, Jungle and Zameen against the alien rule (</w:t>
      </w:r>
      <w:proofErr w:type="spellStart"/>
      <w:r>
        <w:rPr>
          <w:rFonts w:ascii="Times New Roman" w:eastAsia="Times New Roman" w:hAnsi="Times New Roman" w:cs="Times New Roman"/>
          <w:b/>
        </w:rPr>
        <w:t>cit</w:t>
      </w:r>
      <w:proofErr w:type="spellEnd"/>
      <w:r>
        <w:rPr>
          <w:rFonts w:ascii="Times New Roman" w:eastAsia="Times New Roman" w:hAnsi="Times New Roman" w:cs="Times New Roman"/>
        </w:rPr>
        <w:t xml:space="preserve">). </w:t>
      </w:r>
    </w:p>
    <w:p w14:paraId="0ABB7D71"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2018, the Jharkhand BJP government. Similarly, the BJP government of Odisha announced in October 2024 the setting up of another grand Birsa Munda Memorial. To be completed by next year, the iconic statue will be 150 foot tall and situated in the </w:t>
      </w:r>
      <w:proofErr w:type="spellStart"/>
      <w:r>
        <w:rPr>
          <w:rFonts w:ascii="Times New Roman" w:eastAsia="Times New Roman" w:hAnsi="Times New Roman" w:cs="Times New Roman"/>
        </w:rPr>
        <w:t>Sundargarh</w:t>
      </w:r>
      <w:proofErr w:type="spellEnd"/>
      <w:r>
        <w:rPr>
          <w:rFonts w:ascii="Times New Roman" w:eastAsia="Times New Roman" w:hAnsi="Times New Roman" w:cs="Times New Roman"/>
        </w:rPr>
        <w:t xml:space="preserve"> district of Odisha. </w:t>
      </w:r>
    </w:p>
    <w:p w14:paraId="55C81424"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On the eve of </w:t>
      </w:r>
      <w:proofErr w:type="spellStart"/>
      <w:r>
        <w:rPr>
          <w:rFonts w:ascii="Times New Roman" w:eastAsia="Times New Roman" w:hAnsi="Times New Roman" w:cs="Times New Roman"/>
        </w:rPr>
        <w:t>Janjati</w:t>
      </w:r>
      <w:proofErr w:type="spellEnd"/>
      <w:r>
        <w:rPr>
          <w:rFonts w:ascii="Times New Roman" w:eastAsia="Times New Roman" w:hAnsi="Times New Roman" w:cs="Times New Roman"/>
        </w:rPr>
        <w:t xml:space="preserve"> Gaurav Diwas 2023, Modi visited </w:t>
      </w:r>
      <w:proofErr w:type="spellStart"/>
      <w:r>
        <w:rPr>
          <w:rFonts w:ascii="Times New Roman" w:eastAsia="Times New Roman" w:hAnsi="Times New Roman" w:cs="Times New Roman"/>
        </w:rPr>
        <w:t>Ulihatu</w:t>
      </w:r>
      <w:proofErr w:type="spellEnd"/>
      <w:r>
        <w:rPr>
          <w:rFonts w:ascii="Times New Roman" w:eastAsia="Times New Roman" w:hAnsi="Times New Roman" w:cs="Times New Roman"/>
        </w:rPr>
        <w:t xml:space="preserve">, the village of Birsa Munda. Becoming the first Prime Minister to do so in history, this symbolic act was a powerful </w:t>
      </w:r>
      <w:r>
        <w:rPr>
          <w:rFonts w:ascii="Times New Roman" w:eastAsia="Times New Roman" w:hAnsi="Times New Roman" w:cs="Times New Roman"/>
        </w:rPr>
        <w:lastRenderedPageBreak/>
        <w:t xml:space="preserve">testament to the BJP’s seriousness in its tribal outreach project. Rubbing soil on his forehead, Modi paid his tributes to the legacy of Birsa Munda. He also unveiled a statue of Birsa Munda and claimed that the current regime is focused on providing the missing dignity to the lives of </w:t>
      </w:r>
      <w:proofErr w:type="spellStart"/>
      <w:r>
        <w:rPr>
          <w:rFonts w:ascii="Times New Roman" w:eastAsia="Times New Roman" w:hAnsi="Times New Roman" w:cs="Times New Roman"/>
        </w:rPr>
        <w:t>adivasis</w:t>
      </w:r>
      <w:proofErr w:type="spellEnd"/>
      <w:r>
        <w:rPr>
          <w:rFonts w:ascii="Times New Roman" w:eastAsia="Times New Roman" w:hAnsi="Times New Roman" w:cs="Times New Roman"/>
        </w:rPr>
        <w:t xml:space="preserve">. He also met the family members of Birsa Munda and </w:t>
      </w:r>
    </w:p>
    <w:p w14:paraId="77B99CD7" w14:textId="77777777" w:rsidR="003934E1" w:rsidRDefault="003934E1">
      <w:pPr>
        <w:spacing w:line="360" w:lineRule="auto"/>
        <w:rPr>
          <w:rFonts w:ascii="Times New Roman" w:eastAsia="Times New Roman" w:hAnsi="Times New Roman" w:cs="Times New Roman"/>
        </w:rPr>
      </w:pPr>
    </w:p>
    <w:p w14:paraId="26C2D64C" w14:textId="77777777" w:rsidR="003934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Troubling figurations of Indigeneity: Muslims as the new illegals</w:t>
      </w:r>
    </w:p>
    <w:p w14:paraId="1BA3F48F"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2024 legislative elections of Jharkhand happened months after the union election, which saw a considerable downfall in Hindutva’s electoral hegemony in the form of its failure to secure a majority on its own. In Jharkhand, the BJP failed to win a single ST reserved constituency. Voting pattern revealed brewing tribal anger against the BJP, particularly after the arrest of sitting Chief Minister Hemant Soren (EPW). Hemant Soren became a symbol of tribal pride, and the BJP failed to provide a discursive justification for such an act. </w:t>
      </w:r>
    </w:p>
    <w:p w14:paraId="7BE9C858"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The Jharkhand assembly elections, however, witnessed a reinvigorated Hindutva agenda. Departing from the usual political rhetoric of anti-Christian and anti-missionary discourse along with a developmental plank, this newfound discourse targeted Muslims and heavily relied on demographic fearmongering (Quint, 2024). Muslims became an illegal infiltrator population group posing a severe threat to the tribal culture and lifeworld. Unchecked and even supported by the JMM-led government, they indulged in illicit expropriation in tribal land, forcibly marrying tribal women and eating up employment opportunities, and urgently required a BJP government to defend what Modi said, </w:t>
      </w:r>
      <w:r>
        <w:rPr>
          <w:rFonts w:ascii="Times New Roman" w:eastAsia="Times New Roman" w:hAnsi="Times New Roman" w:cs="Times New Roman"/>
          <w:i/>
        </w:rPr>
        <w:t>Roti, Beti and Mati</w:t>
      </w:r>
      <w:r>
        <w:rPr>
          <w:rFonts w:ascii="Times New Roman" w:eastAsia="Times New Roman" w:hAnsi="Times New Roman" w:cs="Times New Roman"/>
        </w:rPr>
        <w:t xml:space="preserve"> of Jharkhand (</w:t>
      </w:r>
      <w:hyperlink r:id="rId72">
        <w:r w:rsidR="003934E1">
          <w:rPr>
            <w:rFonts w:ascii="Times New Roman" w:eastAsia="Times New Roman" w:hAnsi="Times New Roman" w:cs="Times New Roman"/>
            <w:u w:val="single"/>
          </w:rPr>
          <w:t>Hindu</w:t>
        </w:r>
      </w:hyperlink>
      <w:r>
        <w:rPr>
          <w:rFonts w:ascii="Times New Roman" w:eastAsia="Times New Roman" w:hAnsi="Times New Roman" w:cs="Times New Roman"/>
        </w:rPr>
        <w:t xml:space="preserve">). A seemingly observable aspect of this rhetoric was its import from the Hindutva playbook in the Northeastern and bordering states, where it has consistently blamed the loss of tribal culture on the rapid influx of illegal Muslims. </w:t>
      </w:r>
      <w:proofErr w:type="spellStart"/>
      <w:r>
        <w:rPr>
          <w:rFonts w:ascii="Times New Roman" w:eastAsia="Times New Roman" w:hAnsi="Times New Roman" w:cs="Times New Roman"/>
        </w:rPr>
        <w:t>Vanvasi</w:t>
      </w:r>
      <w:proofErr w:type="spellEnd"/>
      <w:r>
        <w:rPr>
          <w:rFonts w:ascii="Times New Roman" w:eastAsia="Times New Roman" w:hAnsi="Times New Roman" w:cs="Times New Roman"/>
        </w:rPr>
        <w:t xml:space="preserve"> Kalyan Ashram has seriously pursued this agenda in states like Assam and Odisha to foster communal polarisation and social enmity. In VKA’s national Committee meeting of June 2018, the organisation demanded the government’s attention to the rising Bangladeshi Muslims’ infiltration in India and requested to expedite the National Register of Citizens (NRC). The bogey of Bangladeshi Muslims has been repeatedly asserted to present the Muslim population as outsiders/infiltrators and should be stripped of their citizen rights. It was this idea that the BJP picked up as its central poll plank in Jharkhand, where multiple manipulated facts were promoted to substantiate the claims. This act, though inefficacious in electoral mobilisation, was done to foment ethnic tension and gain popular support of the tribal bloc. During the election, Jharkhand in-charge Union Minister Shivraj Singh Chauhan said that the land of Birsa Munda is under threat from infiltrators, referring to Muslims. This constant invocation </w:t>
      </w:r>
      <w:r>
        <w:rPr>
          <w:rFonts w:ascii="Times New Roman" w:eastAsia="Times New Roman" w:hAnsi="Times New Roman" w:cs="Times New Roman"/>
        </w:rPr>
        <w:lastRenderedPageBreak/>
        <w:t>of Birsa Munda by Hindutva politics underscores the vitality of his legacy and the formidable force it holds in terms of tribal outreach.</w:t>
      </w:r>
    </w:p>
    <w:p w14:paraId="52B7D33A"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Even after a resounding defeat in assembly elections (Lakra, 2025), the BJP has not yet given up the </w:t>
      </w:r>
      <w:proofErr w:type="spellStart"/>
      <w:r>
        <w:rPr>
          <w:rFonts w:ascii="Times New Roman" w:eastAsia="Times New Roman" w:hAnsi="Times New Roman" w:cs="Times New Roman"/>
        </w:rPr>
        <w:t>pank</w:t>
      </w:r>
      <w:proofErr w:type="spellEnd"/>
      <w:r>
        <w:rPr>
          <w:rFonts w:ascii="Times New Roman" w:eastAsia="Times New Roman" w:hAnsi="Times New Roman" w:cs="Times New Roman"/>
        </w:rPr>
        <w:t xml:space="preserve"> of Muslims as the dangerous other. The bogey of Muslims as the ethnic others consolidating themselves with intentions to invade the tribal land and culture is steadily invoked by the BJP. Alleging that the JMM-led government is advancing illegal immigration, BJP spokesperson Tuhin Sinha questioned if they wanted to convert the land of tribal icon Birsa Munda into the land of Aurangzeb (</w:t>
      </w:r>
      <w:hyperlink r:id="rId73">
        <w:r w:rsidR="003934E1">
          <w:rPr>
            <w:rFonts w:ascii="Times New Roman" w:eastAsia="Times New Roman" w:hAnsi="Times New Roman" w:cs="Times New Roman"/>
            <w:u w:val="single"/>
          </w:rPr>
          <w:t>The Week</w:t>
        </w:r>
      </w:hyperlink>
      <w:r>
        <w:rPr>
          <w:rFonts w:ascii="Times New Roman" w:eastAsia="Times New Roman" w:hAnsi="Times New Roman" w:cs="Times New Roman"/>
        </w:rPr>
        <w:t>). A conversation with a senior VKA activist from Jharkhand during the Kumbh mela echoed this logic. The persistent pursual of this demographic fearmongering, he revealed, would gradually bring tribal consolidation behind Hindutva politics as it is what people can observe happening. He also said it is tried and tested (</w:t>
      </w:r>
      <w:proofErr w:type="spellStart"/>
      <w:r>
        <w:rPr>
          <w:rFonts w:ascii="Times New Roman" w:eastAsia="Times New Roman" w:hAnsi="Times New Roman" w:cs="Times New Roman"/>
          <w:i/>
        </w:rPr>
        <w:t>ajmaya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hua</w:t>
      </w:r>
      <w:proofErr w:type="spellEnd"/>
      <w:r>
        <w:rPr>
          <w:rFonts w:ascii="Times New Roman" w:eastAsia="Times New Roman" w:hAnsi="Times New Roman" w:cs="Times New Roman"/>
        </w:rPr>
        <w:t xml:space="preserve">) politics, and it is successful in different parts. This highlights a similarity with how troubling claims about </w:t>
      </w:r>
      <w:proofErr w:type="spellStart"/>
      <w:r>
        <w:rPr>
          <w:rFonts w:ascii="Times New Roman" w:eastAsia="Times New Roman" w:hAnsi="Times New Roman" w:cs="Times New Roman"/>
        </w:rPr>
        <w:t>indigenousity</w:t>
      </w:r>
      <w:proofErr w:type="spellEnd"/>
      <w:r>
        <w:rPr>
          <w:rFonts w:ascii="Times New Roman" w:eastAsia="Times New Roman" w:hAnsi="Times New Roman" w:cs="Times New Roman"/>
        </w:rPr>
        <w:t xml:space="preserve"> are developed by Hindutva politics, leading to ethnic tensions (Hota, 2024).</w:t>
      </w:r>
    </w:p>
    <w:p w14:paraId="712F2A44" w14:textId="77777777" w:rsidR="003934E1" w:rsidRDefault="003934E1">
      <w:pPr>
        <w:spacing w:line="360" w:lineRule="auto"/>
        <w:rPr>
          <w:rFonts w:ascii="Times New Roman" w:eastAsia="Times New Roman" w:hAnsi="Times New Roman" w:cs="Times New Roman"/>
        </w:rPr>
      </w:pPr>
    </w:p>
    <w:p w14:paraId="39755682" w14:textId="77777777" w:rsidR="003934E1" w:rsidRDefault="00000000">
      <w:pPr>
        <w:spacing w:line="360" w:lineRule="auto"/>
        <w:rPr>
          <w:rFonts w:ascii="Times New Roman" w:eastAsia="Times New Roman" w:hAnsi="Times New Roman" w:cs="Times New Roman"/>
          <w:b/>
        </w:rPr>
      </w:pPr>
      <w:r>
        <w:rPr>
          <w:rFonts w:ascii="Times New Roman" w:eastAsia="Times New Roman" w:hAnsi="Times New Roman" w:cs="Times New Roman"/>
          <w:b/>
        </w:rPr>
        <w:t>Conclusion:</w:t>
      </w:r>
    </w:p>
    <w:p w14:paraId="658490F7"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Jain suggests that statues are the archetypal figure of politics in the twenty-first century India (Jain, 2022). They have masterfully crafted regimes of memorialization and distinctive forms of remembrance. Rahul Ranjan, in his illuminating research on the political memory of Birsa Munda, reveals that, unlike the memorialization and iconography associated with Dalit figures, which have received political backlash from Hindutva politics, Birsa Munda’s legacy has found itself susceptible to appropriation by several political regimes (Ranjan, 2022). Two concomitant pathologies of power design the politics of contemporary India. The aggressive march of neoliberal capitalism in the economic sphere is coupled with the political consolidation of right-wing Hindu Nationalism, which has successfully established itself as the political hegemon and attained the national popular consensus. </w:t>
      </w:r>
    </w:p>
    <w:p w14:paraId="29BA4878"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In the age of iconographic politics and political deification, Birsa Munda emerges as a rare figure hailing from the interior forestlands of 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plateau to reach Delhi as a leader of tribal resistance. His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was a political warfare against the British political regime, bringing a spirit of autonomy (Guha, 1999; Chandra, 2024). However, the essential question is how Birsa Munda is remembered today, and more importantly, how does the political regime want us to remember him and his legacy? As the political deification and iconography of Birsa Munda undergo, I seek to demonstrate how Hindu Nationalist politics have engaged with his legacy through recent events. RSS and its affiliates like VKA have </w:t>
      </w:r>
      <w:r>
        <w:rPr>
          <w:rFonts w:ascii="Times New Roman" w:eastAsia="Times New Roman" w:hAnsi="Times New Roman" w:cs="Times New Roman"/>
        </w:rPr>
        <w:lastRenderedPageBreak/>
        <w:t xml:space="preserve">increasingly relied on appropriating Birsa Munda by forming a </w:t>
      </w:r>
      <w:proofErr w:type="spellStart"/>
      <w:r>
        <w:rPr>
          <w:rFonts w:ascii="Times New Roman" w:eastAsia="Times New Roman" w:hAnsi="Times New Roman" w:cs="Times New Roman"/>
        </w:rPr>
        <w:t>mythopolitical</w:t>
      </w:r>
      <w:proofErr w:type="spellEnd"/>
      <w:r>
        <w:rPr>
          <w:rFonts w:ascii="Times New Roman" w:eastAsia="Times New Roman" w:hAnsi="Times New Roman" w:cs="Times New Roman"/>
        </w:rPr>
        <w:t xml:space="preserve"> association with Hinduism. He is portrayed as the defender of Hinduism. Through that, his political legacy is restricted to the realm of opposing Christian missionaries and becomes instrumental in furthering the agenda of </w:t>
      </w:r>
      <w:proofErr w:type="spellStart"/>
      <w:r>
        <w:rPr>
          <w:rFonts w:ascii="Times New Roman" w:eastAsia="Times New Roman" w:hAnsi="Times New Roman" w:cs="Times New Roman"/>
        </w:rPr>
        <w:t>otherisation</w:t>
      </w:r>
      <w:proofErr w:type="spellEnd"/>
      <w:r>
        <w:rPr>
          <w:rFonts w:ascii="Times New Roman" w:eastAsia="Times New Roman" w:hAnsi="Times New Roman" w:cs="Times New Roman"/>
        </w:rPr>
        <w:t xml:space="preserve"> and ethnic consolidation subsequently. Similarly, through its efforts of statue making, name changing, and </w:t>
      </w:r>
      <w:proofErr w:type="spellStart"/>
      <w:r>
        <w:rPr>
          <w:rFonts w:ascii="Times New Roman" w:eastAsia="Times New Roman" w:hAnsi="Times New Roman" w:cs="Times New Roman"/>
        </w:rPr>
        <w:t>museumisation</w:t>
      </w:r>
      <w:proofErr w:type="spellEnd"/>
      <w:r>
        <w:rPr>
          <w:rFonts w:ascii="Times New Roman" w:eastAsia="Times New Roman" w:hAnsi="Times New Roman" w:cs="Times New Roman"/>
        </w:rPr>
        <w:t>, the governmental Hindutva has nevertheless placed Birsa in the nationalist canon of heroes, albeit taking away the radical potential and transformative zeal from his legacy.</w:t>
      </w:r>
    </w:p>
    <w:p w14:paraId="6A7AFD48" w14:textId="77777777" w:rsidR="003934E1" w:rsidRDefault="003934E1">
      <w:pPr>
        <w:spacing w:line="360" w:lineRule="auto"/>
        <w:rPr>
          <w:rFonts w:ascii="Times New Roman" w:eastAsia="Times New Roman" w:hAnsi="Times New Roman" w:cs="Times New Roman"/>
        </w:rPr>
      </w:pPr>
    </w:p>
    <w:p w14:paraId="0B539D42"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b/>
        </w:rPr>
      </w:pPr>
      <w:r>
        <w:rPr>
          <w:rFonts w:ascii="Times New Roman" w:eastAsia="Times New Roman" w:hAnsi="Times New Roman" w:cs="Times New Roman"/>
          <w:b/>
        </w:rPr>
        <w:t>Bibliography:</w:t>
      </w:r>
    </w:p>
    <w:p w14:paraId="21C4A83F"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Alder, K. (2018). Authority, ethics and service (seva) amongst Hindu nationalists in India’s assertive margins. Contemporary South Asia, 26(4), 421–438. </w:t>
      </w:r>
      <w:hyperlink r:id="rId74">
        <w:r w:rsidR="003934E1">
          <w:rPr>
            <w:rFonts w:ascii="Times New Roman" w:eastAsia="Times New Roman" w:hAnsi="Times New Roman" w:cs="Times New Roman"/>
            <w:u w:val="single"/>
          </w:rPr>
          <w:t>https://doi.org/10.1080/09584935.2018.1548008</w:t>
        </w:r>
      </w:hyperlink>
    </w:p>
    <w:p w14:paraId="1077465E"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Bo Nielsen, K. (2025). ‘Wipe away the remaining signs’: Hindu nationalist assemblage politics and the Christian other in Goa. Commonwealth &amp; Comparative Politics, 1–22. </w:t>
      </w:r>
      <w:hyperlink r:id="rId75">
        <w:r w:rsidR="003934E1">
          <w:rPr>
            <w:rFonts w:ascii="Times New Roman" w:eastAsia="Times New Roman" w:hAnsi="Times New Roman" w:cs="Times New Roman"/>
            <w:u w:val="single"/>
          </w:rPr>
          <w:t>https://doi.org/10.1080/14662043.2025.2500794</w:t>
        </w:r>
      </w:hyperlink>
    </w:p>
    <w:p w14:paraId="4AD33095"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Chandra, U. (2024). Resistance as negotiation. In </w:t>
      </w:r>
      <w:r>
        <w:rPr>
          <w:rFonts w:ascii="Times New Roman" w:eastAsia="Times New Roman" w:hAnsi="Times New Roman" w:cs="Times New Roman"/>
          <w:i/>
        </w:rPr>
        <w:t>Stanford University Press eBooks</w:t>
      </w:r>
      <w:r>
        <w:rPr>
          <w:rFonts w:ascii="Times New Roman" w:eastAsia="Times New Roman" w:hAnsi="Times New Roman" w:cs="Times New Roman"/>
        </w:rPr>
        <w:t>. https://doi.org/10.1515/9781503639157</w:t>
      </w:r>
    </w:p>
    <w:p w14:paraId="22FB92F5"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Choubey, KN. (2019). Adivasi Jiwan aur </w:t>
      </w:r>
      <w:proofErr w:type="spellStart"/>
      <w:r>
        <w:rPr>
          <w:rFonts w:ascii="Times New Roman" w:eastAsia="Times New Roman" w:hAnsi="Times New Roman" w:cs="Times New Roman"/>
        </w:rPr>
        <w:t>Vanvasi</w:t>
      </w:r>
      <w:proofErr w:type="spellEnd"/>
      <w:r>
        <w:rPr>
          <w:rFonts w:ascii="Times New Roman" w:eastAsia="Times New Roman" w:hAnsi="Times New Roman" w:cs="Times New Roman"/>
        </w:rPr>
        <w:t xml:space="preserve"> Kalyan Ashram, </w:t>
      </w:r>
      <w:proofErr w:type="spellStart"/>
      <w:r>
        <w:rPr>
          <w:rFonts w:ascii="Times New Roman" w:eastAsia="Times New Roman" w:hAnsi="Times New Roman" w:cs="Times New Roman"/>
        </w:rPr>
        <w:t>Pratiman</w:t>
      </w:r>
      <w:proofErr w:type="spellEnd"/>
      <w:r>
        <w:rPr>
          <w:rFonts w:ascii="Times New Roman" w:eastAsia="Times New Roman" w:hAnsi="Times New Roman" w:cs="Times New Roman"/>
        </w:rPr>
        <w:t>, 7(14), 75-96</w:t>
      </w:r>
    </w:p>
    <w:p w14:paraId="284177C7" w14:textId="77777777" w:rsidR="003934E1" w:rsidRDefault="003934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i/>
        </w:rPr>
      </w:pPr>
    </w:p>
    <w:p w14:paraId="729CDEAA"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Dubey, Abhay Kumar. (2019). </w:t>
      </w:r>
      <w:r>
        <w:rPr>
          <w:rFonts w:ascii="Times New Roman" w:eastAsia="Times New Roman" w:hAnsi="Times New Roman" w:cs="Times New Roman"/>
          <w:i/>
        </w:rPr>
        <w:t xml:space="preserve">Hindu-Ekta </w:t>
      </w:r>
      <w:proofErr w:type="spellStart"/>
      <w:r>
        <w:rPr>
          <w:rFonts w:ascii="Times New Roman" w:eastAsia="Times New Roman" w:hAnsi="Times New Roman" w:cs="Times New Roman"/>
          <w:i/>
        </w:rPr>
        <w:t>Banam</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Jnan</w:t>
      </w:r>
      <w:proofErr w:type="spellEnd"/>
      <w:r>
        <w:rPr>
          <w:rFonts w:ascii="Times New Roman" w:eastAsia="Times New Roman" w:hAnsi="Times New Roman" w:cs="Times New Roman"/>
          <w:i/>
        </w:rPr>
        <w:t xml:space="preserve"> Kee </w:t>
      </w:r>
      <w:proofErr w:type="spellStart"/>
      <w:r>
        <w:rPr>
          <w:rFonts w:ascii="Times New Roman" w:eastAsia="Times New Roman" w:hAnsi="Times New Roman" w:cs="Times New Roman"/>
          <w:i/>
        </w:rPr>
        <w:t>Rajneeti</w:t>
      </w:r>
      <w:proofErr w:type="spellEnd"/>
      <w:r>
        <w:rPr>
          <w:rFonts w:ascii="Times New Roman" w:eastAsia="Times New Roman" w:hAnsi="Times New Roman" w:cs="Times New Roman"/>
        </w:rPr>
        <w:t>. Vani Prakashan.</w:t>
      </w:r>
    </w:p>
    <w:p w14:paraId="071703A4"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Froerer, P. (2010b). Religious Division and Social Conflict: The Emergence of Hindu Nationalism in Rural India. Social Science Press. </w:t>
      </w:r>
    </w:p>
    <w:p w14:paraId="18F36300"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i/>
        </w:rPr>
      </w:pPr>
      <w:r>
        <w:rPr>
          <w:rFonts w:ascii="Times New Roman" w:eastAsia="Times New Roman" w:hAnsi="Times New Roman" w:cs="Times New Roman"/>
        </w:rPr>
        <w:t xml:space="preserve">Guha R. (1999). </w:t>
      </w:r>
      <w:r>
        <w:rPr>
          <w:rFonts w:ascii="Times New Roman" w:eastAsia="Times New Roman" w:hAnsi="Times New Roman" w:cs="Times New Roman"/>
          <w:i/>
        </w:rPr>
        <w:t>Elementary aspects of peasant insurgency in colonial India. Duke University Press.</w:t>
      </w:r>
    </w:p>
    <w:p w14:paraId="4C29C839"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Hota, Pinky. (2023). </w:t>
      </w:r>
      <w:r>
        <w:rPr>
          <w:rFonts w:ascii="Times New Roman" w:eastAsia="Times New Roman" w:hAnsi="Times New Roman" w:cs="Times New Roman"/>
          <w:i/>
        </w:rPr>
        <w:t>The Violence of Recognition: Adivasi Indigeneity and Anti-</w:t>
      </w:r>
      <w:proofErr w:type="spellStart"/>
      <w:r>
        <w:rPr>
          <w:rFonts w:ascii="Times New Roman" w:eastAsia="Times New Roman" w:hAnsi="Times New Roman" w:cs="Times New Roman"/>
          <w:i/>
        </w:rPr>
        <w:t>Dalitness</w:t>
      </w:r>
      <w:proofErr w:type="spellEnd"/>
      <w:r>
        <w:rPr>
          <w:rFonts w:ascii="Times New Roman" w:eastAsia="Times New Roman" w:hAnsi="Times New Roman" w:cs="Times New Roman"/>
          <w:i/>
        </w:rPr>
        <w:t xml:space="preserve"> in India.</w:t>
      </w:r>
      <w:r>
        <w:rPr>
          <w:rFonts w:ascii="Times New Roman" w:eastAsia="Times New Roman" w:hAnsi="Times New Roman" w:cs="Times New Roman"/>
        </w:rPr>
        <w:t xml:space="preserve"> Penn University Press.</w:t>
      </w:r>
    </w:p>
    <w:p w14:paraId="79F308A6"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proofErr w:type="spellStart"/>
      <w:r>
        <w:rPr>
          <w:rFonts w:ascii="Times New Roman" w:eastAsia="Times New Roman" w:hAnsi="Times New Roman" w:cs="Times New Roman"/>
        </w:rPr>
        <w:t>Longkumer</w:t>
      </w:r>
      <w:proofErr w:type="spellEnd"/>
      <w:r>
        <w:rPr>
          <w:rFonts w:ascii="Times New Roman" w:eastAsia="Times New Roman" w:hAnsi="Times New Roman" w:cs="Times New Roman"/>
        </w:rPr>
        <w:t>, A. (2020). The Greater India Experiment: Hindutva and the Northeast (South Asia in Motion) (1st ed.). Stanford University Press.</w:t>
      </w:r>
    </w:p>
    <w:p w14:paraId="7B9FAF41"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proofErr w:type="spellStart"/>
      <w:r>
        <w:rPr>
          <w:rFonts w:ascii="Times New Roman" w:eastAsia="Times New Roman" w:hAnsi="Times New Roman" w:cs="Times New Roman"/>
        </w:rPr>
        <w:t>Jaffrelot</w:t>
      </w:r>
      <w:proofErr w:type="spellEnd"/>
      <w:r>
        <w:rPr>
          <w:rFonts w:ascii="Times New Roman" w:eastAsia="Times New Roman" w:hAnsi="Times New Roman" w:cs="Times New Roman"/>
        </w:rPr>
        <w:t>, C. (1999). The Hindu nationalist movement and Indian politics: 1925 to the 1990s : Strategies of Identity-building, Implantation and Mobilisation (with Special Reference to Central India). Penguin Books India</w:t>
      </w:r>
    </w:p>
    <w:p w14:paraId="3813407B"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proofErr w:type="spellStart"/>
      <w:r>
        <w:rPr>
          <w:rFonts w:ascii="Times New Roman" w:eastAsia="Times New Roman" w:hAnsi="Times New Roman" w:cs="Times New Roman"/>
        </w:rPr>
        <w:t>Jaffrelot</w:t>
      </w:r>
      <w:proofErr w:type="spellEnd"/>
      <w:r>
        <w:rPr>
          <w:rFonts w:ascii="Times New Roman" w:eastAsia="Times New Roman" w:hAnsi="Times New Roman" w:cs="Times New Roman"/>
        </w:rPr>
        <w:t xml:space="preserve">, C. (2019). Class and Caste in the 2019 Indian Election–Why Have So Many Poor Started Voting for Modi? </w:t>
      </w:r>
      <w:r>
        <w:rPr>
          <w:rFonts w:ascii="Times New Roman" w:eastAsia="Times New Roman" w:hAnsi="Times New Roman" w:cs="Times New Roman"/>
          <w:i/>
        </w:rPr>
        <w:t>Studies in Indian Politics</w:t>
      </w:r>
      <w:r>
        <w:rPr>
          <w:rFonts w:ascii="Times New Roman" w:eastAsia="Times New Roman" w:hAnsi="Times New Roman" w:cs="Times New Roman"/>
        </w:rPr>
        <w:t xml:space="preserve">, 7(2), 149–160. </w:t>
      </w:r>
      <w:hyperlink r:id="rId76">
        <w:r w:rsidR="003934E1">
          <w:rPr>
            <w:rFonts w:ascii="Times New Roman" w:eastAsia="Times New Roman" w:hAnsi="Times New Roman" w:cs="Times New Roman"/>
            <w:u w:val="single"/>
          </w:rPr>
          <w:t>https://doi.org/10.1177/2321023019874890</w:t>
        </w:r>
      </w:hyperlink>
    </w:p>
    <w:p w14:paraId="559D8FDD"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Jain, K. (2022). The Statue. In Kaur, R. &amp; </w:t>
      </w:r>
      <w:proofErr w:type="spellStart"/>
      <w:r>
        <w:rPr>
          <w:rFonts w:ascii="Times New Roman" w:eastAsia="Times New Roman" w:hAnsi="Times New Roman" w:cs="Times New Roman"/>
        </w:rPr>
        <w:t>Mathure</w:t>
      </w:r>
      <w:proofErr w:type="spellEnd"/>
      <w:r>
        <w:rPr>
          <w:rFonts w:ascii="Times New Roman" w:eastAsia="Times New Roman" w:hAnsi="Times New Roman" w:cs="Times New Roman"/>
        </w:rPr>
        <w:t xml:space="preserve">, N. edited The people of India, Penguin Random House. </w:t>
      </w:r>
    </w:p>
    <w:p w14:paraId="18A501AE"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Lakra, Bipasha. (2025). The 2024 Jharkhand Assembly Elections: Adivasi Consolidation, Politics of Symbolism, and Identity. Economics and Political Weekly. Vol 60, Issue No 4.</w:t>
      </w:r>
    </w:p>
    <w:p w14:paraId="0D3E3560"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Narayan, Badri (2021). </w:t>
      </w:r>
      <w:r>
        <w:rPr>
          <w:rFonts w:ascii="Times New Roman" w:eastAsia="Times New Roman" w:hAnsi="Times New Roman" w:cs="Times New Roman"/>
          <w:i/>
        </w:rPr>
        <w:t>Republic of Hindutva</w:t>
      </w:r>
      <w:r>
        <w:rPr>
          <w:rFonts w:ascii="Times New Roman" w:eastAsia="Times New Roman" w:hAnsi="Times New Roman" w:cs="Times New Roman"/>
        </w:rPr>
        <w:t>. India Viking.</w:t>
      </w:r>
    </w:p>
    <w:p w14:paraId="26924A17"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Ranjan, R. (2023). </w:t>
      </w:r>
      <w:r>
        <w:rPr>
          <w:rFonts w:ascii="Times New Roman" w:eastAsia="Times New Roman" w:hAnsi="Times New Roman" w:cs="Times New Roman"/>
          <w:i/>
        </w:rPr>
        <w:t>The political life of memory</w:t>
      </w:r>
      <w:r>
        <w:rPr>
          <w:rFonts w:ascii="Times New Roman" w:eastAsia="Times New Roman" w:hAnsi="Times New Roman" w:cs="Times New Roman"/>
        </w:rPr>
        <w:t>. Cambridge University Press. https://doi.org/10.1017/9781009337922</w:t>
      </w:r>
    </w:p>
    <w:p w14:paraId="55312042"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Sharma, J. (2004). </w:t>
      </w:r>
      <w:r>
        <w:rPr>
          <w:rFonts w:ascii="Times New Roman" w:eastAsia="Times New Roman" w:hAnsi="Times New Roman" w:cs="Times New Roman"/>
          <w:i/>
        </w:rPr>
        <w:t>Hindutva: Exploring the idea of Hindu nationalism</w:t>
      </w:r>
      <w:r>
        <w:rPr>
          <w:rFonts w:ascii="Times New Roman" w:eastAsia="Times New Roman" w:hAnsi="Times New Roman" w:cs="Times New Roman"/>
        </w:rPr>
        <w:t>. https://openlibrary.org/books/OL7641569M/Hindutva</w:t>
      </w:r>
    </w:p>
    <w:p w14:paraId="58AF5DE4"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Sen, M., &amp; Nielsen, K. B. (2022). Gods in the public sphere: political deification in South Asia. Religion, 52(4), 497–512. </w:t>
      </w:r>
      <w:hyperlink r:id="rId77">
        <w:r w:rsidR="003934E1">
          <w:rPr>
            <w:rFonts w:ascii="Times New Roman" w:eastAsia="Times New Roman" w:hAnsi="Times New Roman" w:cs="Times New Roman"/>
            <w:u w:val="single"/>
          </w:rPr>
          <w:t>https://doi.org/10.1080/0048721X.2022.2094780</w:t>
        </w:r>
      </w:hyperlink>
    </w:p>
    <w:p w14:paraId="5AB1CC78"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Hansen TB, Roy S, eds. Saffron Republic: Hindu Nationalism and State Power in India. Cambridge University Press; 2022.</w:t>
      </w:r>
    </w:p>
    <w:p w14:paraId="71FDECDC"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Sundar, N. (2000). Caste as Census Category: Implications for Sociology. </w:t>
      </w:r>
      <w:r>
        <w:rPr>
          <w:rFonts w:ascii="Times New Roman" w:eastAsia="Times New Roman" w:hAnsi="Times New Roman" w:cs="Times New Roman"/>
          <w:i/>
        </w:rPr>
        <w:t>Current Sociology</w:t>
      </w:r>
      <w:r>
        <w:rPr>
          <w:rFonts w:ascii="Times New Roman" w:eastAsia="Times New Roman" w:hAnsi="Times New Roman" w:cs="Times New Roman"/>
        </w:rPr>
        <w:t xml:space="preserve">, </w:t>
      </w:r>
      <w:r>
        <w:rPr>
          <w:rFonts w:ascii="Times New Roman" w:eastAsia="Times New Roman" w:hAnsi="Times New Roman" w:cs="Times New Roman"/>
          <w:i/>
        </w:rPr>
        <w:t>48</w:t>
      </w:r>
      <w:r>
        <w:rPr>
          <w:rFonts w:ascii="Times New Roman" w:eastAsia="Times New Roman" w:hAnsi="Times New Roman" w:cs="Times New Roman"/>
        </w:rPr>
        <w:t xml:space="preserve">(3), 111–126. </w:t>
      </w:r>
      <w:hyperlink r:id="rId78">
        <w:r w:rsidR="003934E1">
          <w:rPr>
            <w:rFonts w:ascii="Times New Roman" w:eastAsia="Times New Roman" w:hAnsi="Times New Roman" w:cs="Times New Roman"/>
            <w:u w:val="single"/>
          </w:rPr>
          <w:t>https://doi.org/10.1177/0011392100048003008</w:t>
        </w:r>
      </w:hyperlink>
      <w:r>
        <w:rPr>
          <w:rFonts w:ascii="Times New Roman" w:eastAsia="Times New Roman" w:hAnsi="Times New Roman" w:cs="Times New Roman"/>
        </w:rPr>
        <w:t xml:space="preserve"> </w:t>
      </w:r>
    </w:p>
    <w:p w14:paraId="3574A8E3"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Sundar, Nandini. (2006). Adivasi vs </w:t>
      </w:r>
      <w:proofErr w:type="spellStart"/>
      <w:r>
        <w:rPr>
          <w:rFonts w:ascii="Times New Roman" w:eastAsia="Times New Roman" w:hAnsi="Times New Roman" w:cs="Times New Roman"/>
        </w:rPr>
        <w:t>Vanvasi</w:t>
      </w:r>
      <w:proofErr w:type="spellEnd"/>
      <w:r>
        <w:rPr>
          <w:rFonts w:ascii="Times New Roman" w:eastAsia="Times New Roman" w:hAnsi="Times New Roman" w:cs="Times New Roman"/>
        </w:rPr>
        <w:t xml:space="preserve">: the politics of conversion and reconversion in Central India. In </w:t>
      </w:r>
      <w:proofErr w:type="spellStart"/>
      <w:r>
        <w:rPr>
          <w:rFonts w:ascii="Times New Roman" w:eastAsia="Times New Roman" w:hAnsi="Times New Roman" w:cs="Times New Roman"/>
        </w:rPr>
        <w:t>Saberwal</w:t>
      </w:r>
      <w:proofErr w:type="spellEnd"/>
      <w:r>
        <w:rPr>
          <w:rFonts w:ascii="Times New Roman" w:eastAsia="Times New Roman" w:hAnsi="Times New Roman" w:cs="Times New Roman"/>
        </w:rPr>
        <w:t xml:space="preserve">, S., &amp; Hasan, M. </w:t>
      </w:r>
      <w:r>
        <w:rPr>
          <w:rFonts w:ascii="Times New Roman" w:eastAsia="Times New Roman" w:hAnsi="Times New Roman" w:cs="Times New Roman"/>
          <w:i/>
        </w:rPr>
        <w:t>Assertive Religious Identities: India and Europe</w:t>
      </w:r>
      <w:r>
        <w:rPr>
          <w:rFonts w:ascii="Times New Roman" w:eastAsia="Times New Roman" w:hAnsi="Times New Roman" w:cs="Times New Roman"/>
        </w:rPr>
        <w:t>. Manohar Publishers.</w:t>
      </w:r>
    </w:p>
    <w:p w14:paraId="577FD4C5"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i/>
        </w:rPr>
      </w:pPr>
      <w:proofErr w:type="spellStart"/>
      <w:r>
        <w:rPr>
          <w:rFonts w:ascii="Times New Roman" w:eastAsia="Times New Roman" w:hAnsi="Times New Roman" w:cs="Times New Roman"/>
        </w:rPr>
        <w:t>Teltumbde</w:t>
      </w:r>
      <w:proofErr w:type="spellEnd"/>
      <w:r>
        <w:rPr>
          <w:rFonts w:ascii="Times New Roman" w:eastAsia="Times New Roman" w:hAnsi="Times New Roman" w:cs="Times New Roman"/>
        </w:rPr>
        <w:t xml:space="preserve">, A. (2005). </w:t>
      </w:r>
      <w:r>
        <w:rPr>
          <w:rFonts w:ascii="Times New Roman" w:eastAsia="Times New Roman" w:hAnsi="Times New Roman" w:cs="Times New Roman"/>
          <w:i/>
        </w:rPr>
        <w:t>Hindutva and Dalits : perspectives for understanding communal praxis</w:t>
      </w:r>
      <w:r>
        <w:rPr>
          <w:rFonts w:ascii="Times New Roman" w:eastAsia="Times New Roman" w:hAnsi="Times New Roman" w:cs="Times New Roman"/>
        </w:rPr>
        <w:t xml:space="preserve">. </w:t>
      </w:r>
      <w:hyperlink r:id="rId79">
        <w:r w:rsidR="003934E1">
          <w:rPr>
            <w:rFonts w:ascii="Times New Roman" w:eastAsia="Times New Roman" w:hAnsi="Times New Roman" w:cs="Times New Roman"/>
          </w:rPr>
          <w:t>http://ci.nii.ac.jp/ncid/BA80504938</w:t>
        </w:r>
      </w:hyperlink>
    </w:p>
    <w:p w14:paraId="5E126E45"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Thachil, T. (2014). </w:t>
      </w:r>
      <w:r>
        <w:rPr>
          <w:rFonts w:ascii="Times New Roman" w:eastAsia="Times New Roman" w:hAnsi="Times New Roman" w:cs="Times New Roman"/>
          <w:i/>
        </w:rPr>
        <w:t xml:space="preserve">Elite Parties, Poor Voters: How Social Services Win Votes in India </w:t>
      </w:r>
      <w:r>
        <w:rPr>
          <w:rFonts w:ascii="Times New Roman" w:eastAsia="Times New Roman" w:hAnsi="Times New Roman" w:cs="Times New Roman"/>
        </w:rPr>
        <w:t>(Cambridge Studies in Comparative Politics). Cambridge University Press.</w:t>
      </w:r>
    </w:p>
    <w:p w14:paraId="041D2BB4"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‘BR Ambedkar visited </w:t>
      </w:r>
      <w:proofErr w:type="spellStart"/>
      <w:r>
        <w:rPr>
          <w:rFonts w:ascii="Times New Roman" w:eastAsia="Times New Roman" w:hAnsi="Times New Roman" w:cs="Times New Roman"/>
        </w:rPr>
        <w:t>shakha</w:t>
      </w:r>
      <w:proofErr w:type="spellEnd"/>
      <w:r>
        <w:rPr>
          <w:rFonts w:ascii="Times New Roman" w:eastAsia="Times New Roman" w:hAnsi="Times New Roman" w:cs="Times New Roman"/>
        </w:rPr>
        <w:t xml:space="preserve"> in 1940,’ claims RSS </w:t>
      </w:r>
      <w:hyperlink r:id="rId80">
        <w:r w:rsidR="003934E1">
          <w:rPr>
            <w:rFonts w:ascii="Times New Roman" w:eastAsia="Times New Roman" w:hAnsi="Times New Roman" w:cs="Times New Roman"/>
            <w:u w:val="single"/>
          </w:rPr>
          <w:t>https://www.hindustantimes.com/india-news/dr-ambedkar-had-visited-rss-shakha-in-1940-says-sangh-s-media-wing-101735817670207.html</w:t>
        </w:r>
      </w:hyperlink>
    </w:p>
    <w:p w14:paraId="6E225BAC"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Anamika Pathak, Deccan Herald, 14 April, 2025. From criticism to praise: How RSS changed stance on Ambedkar </w:t>
      </w:r>
      <w:hyperlink r:id="rId81">
        <w:r w:rsidR="003934E1">
          <w:rPr>
            <w:rFonts w:ascii="Times New Roman" w:eastAsia="Times New Roman" w:hAnsi="Times New Roman" w:cs="Times New Roman"/>
            <w:u w:val="single"/>
          </w:rPr>
          <w:t>https://www.deccanherald.com/india/from-criticism-to-praise-how-rss-changed-stance-on-ambedkar-3492843</w:t>
        </w:r>
      </w:hyperlink>
    </w:p>
    <w:p w14:paraId="3723DA09"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Navneet Mishra RSS to light diyas on Ambedkar Jayanti to rope in Dalits </w:t>
      </w:r>
      <w:hyperlink r:id="rId82">
        <w:r w:rsidR="003934E1">
          <w:rPr>
            <w:rFonts w:ascii="Times New Roman" w:eastAsia="Times New Roman" w:hAnsi="Times New Roman" w:cs="Times New Roman"/>
            <w:u w:val="single"/>
          </w:rPr>
          <w:t>https://daijiworld.com/index.php/news/newsDisplay?newsID=695439</w:t>
        </w:r>
      </w:hyperlink>
      <w:r>
        <w:rPr>
          <w:rFonts w:ascii="Times New Roman" w:eastAsia="Times New Roman" w:hAnsi="Times New Roman" w:cs="Times New Roman"/>
        </w:rPr>
        <w:t xml:space="preserve"> April 11, 2020 </w:t>
      </w:r>
    </w:p>
    <w:p w14:paraId="75704B2E"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National Herald, ISBT, bus stop or Sarai Kale Khan chowk, what exactly is named after Birsa Munda?</w:t>
      </w:r>
      <w:hyperlink r:id="rId83">
        <w:r w:rsidR="003934E1">
          <w:rPr>
            <w:rFonts w:ascii="Times New Roman" w:eastAsia="Times New Roman" w:hAnsi="Times New Roman" w:cs="Times New Roman"/>
            <w:u w:val="single"/>
          </w:rPr>
          <w:t>https://www.nationalheraldindia.com/politics/isbt-bus-stop-or-chowk-at-sarai-kale-khanwhat-is-named-after-birsa-munda</w:t>
        </w:r>
      </w:hyperlink>
    </w:p>
    <w:p w14:paraId="70012196"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lastRenderedPageBreak/>
        <w:t xml:space="preserve">Borphukan &amp; BJP: 17th-century Ahom General as a ‘Hindu’, ‘swadeshi’ warrior </w:t>
      </w:r>
      <w:hyperlink r:id="rId84">
        <w:r w:rsidR="003934E1">
          <w:rPr>
            <w:rFonts w:ascii="Times New Roman" w:eastAsia="Times New Roman" w:hAnsi="Times New Roman" w:cs="Times New Roman"/>
            <w:u w:val="single"/>
          </w:rPr>
          <w:t>https://indianexpress.com/article/explained/borphukan-bjp-13th-century-ahom-general-as-a-hindu-swadeshi-warrior-7242058/</w:t>
        </w:r>
      </w:hyperlink>
      <w:r>
        <w:rPr>
          <w:rFonts w:ascii="Times New Roman" w:eastAsia="Times New Roman" w:hAnsi="Times New Roman" w:cs="Times New Roman"/>
        </w:rPr>
        <w:t xml:space="preserve"> March 24, 2021. </w:t>
      </w:r>
    </w:p>
    <w:p w14:paraId="76727DB0"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PTI Nov 15, 2025Amit Shah unveils Birsa Munda's statue on his 150th birth anniversary at </w:t>
      </w:r>
      <w:proofErr w:type="spellStart"/>
      <w:r>
        <w:rPr>
          <w:rFonts w:ascii="Times New Roman" w:eastAsia="Times New Roman" w:hAnsi="Times New Roman" w:cs="Times New Roman"/>
        </w:rPr>
        <w:t>Baansera</w:t>
      </w:r>
      <w:proofErr w:type="spellEnd"/>
      <w:r>
        <w:rPr>
          <w:rFonts w:ascii="Times New Roman" w:eastAsia="Times New Roman" w:hAnsi="Times New Roman" w:cs="Times New Roman"/>
        </w:rPr>
        <w:t xml:space="preserve"> Park </w:t>
      </w:r>
      <w:hyperlink r:id="rId85">
        <w:r w:rsidR="003934E1">
          <w:rPr>
            <w:rFonts w:ascii="Times New Roman" w:eastAsia="Times New Roman" w:hAnsi="Times New Roman" w:cs="Times New Roman"/>
            <w:u w:val="single"/>
          </w:rPr>
          <w:t>https://www.ptinews.com/story/national/amit-shah-unveils-birsa-munda-s-statue-on-his-150th-birth-anniversary-at-baansera-park/1985111</w:t>
        </w:r>
      </w:hyperlink>
    </w:p>
    <w:p w14:paraId="214CAF11"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Pegu Manoranjan, Caravan </w:t>
      </w:r>
      <w:hyperlink r:id="rId86">
        <w:r w:rsidR="003934E1">
          <w:rPr>
            <w:rFonts w:ascii="Times New Roman" w:eastAsia="Times New Roman" w:hAnsi="Times New Roman" w:cs="Times New Roman"/>
            <w:u w:val="single"/>
          </w:rPr>
          <w:t>https://caravanmagazine.in/communities/assam-adivasi-tea-tribes-indigenous-ethnic-nationalism-bihu-jhumoir-culture-exoticisation</w:t>
        </w:r>
      </w:hyperlink>
    </w:p>
    <w:p w14:paraId="15E4E8D5"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Singh, Sajjan. 2021, Subaltern Hindutva has truly arrived in Bengal. And that explains the rise of BJP </w:t>
      </w:r>
    </w:p>
    <w:p w14:paraId="09C4FC10" w14:textId="77777777" w:rsidR="003934E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line="360" w:lineRule="auto"/>
        <w:rPr>
          <w:rFonts w:ascii="Times New Roman" w:eastAsia="Times New Roman" w:hAnsi="Times New Roman" w:cs="Times New Roman"/>
        </w:rPr>
      </w:pPr>
      <w:r>
        <w:rPr>
          <w:rFonts w:ascii="Times New Roman" w:eastAsia="Times New Roman" w:hAnsi="Times New Roman" w:cs="Times New Roman"/>
        </w:rPr>
        <w:t xml:space="preserve">The BJP's fascination with a Dalit icon </w:t>
      </w:r>
      <w:hyperlink r:id="rId87">
        <w:r w:rsidR="003934E1">
          <w:rPr>
            <w:rFonts w:ascii="Times New Roman" w:eastAsia="Times New Roman" w:hAnsi="Times New Roman" w:cs="Times New Roman"/>
            <w:u w:val="single"/>
          </w:rPr>
          <w:t>https://www.thehindu.com/thread/politics-and-policy/article9193345.ece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nov</w:t>
      </w:r>
      <w:proofErr w:type="spellEnd"/>
      <w:r>
        <w:rPr>
          <w:rFonts w:ascii="Times New Roman" w:eastAsia="Times New Roman" w:hAnsi="Times New Roman" w:cs="Times New Roman"/>
        </w:rPr>
        <w:t xml:space="preserve"> 3, 2016 </w:t>
      </w:r>
    </w:p>
    <w:p w14:paraId="6506ACA1"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BJP's Demographic Fear-mongering in Jharkhand Ahead of Elections </w:t>
      </w:r>
      <w:hyperlink r:id="rId88" w:anchor="read-more">
        <w:r w:rsidR="003934E1">
          <w:rPr>
            <w:rFonts w:ascii="Times New Roman" w:eastAsia="Times New Roman" w:hAnsi="Times New Roman" w:cs="Times New Roman"/>
            <w:u w:val="single"/>
          </w:rPr>
          <w:t>https://www.thequint.com/opinion/bjps-demographic-fear-mongering-in-jharkhand-ahead-of-elections#read-more</w:t>
        </w:r>
      </w:hyperlink>
    </w:p>
    <w:p w14:paraId="4C198CE1" w14:textId="77777777" w:rsidR="003934E1" w:rsidRDefault="00000000">
      <w:pPr>
        <w:spacing w:line="360" w:lineRule="auto"/>
        <w:rPr>
          <w:rFonts w:ascii="Times New Roman" w:eastAsia="Times New Roman" w:hAnsi="Times New Roman" w:cs="Times New Roman"/>
        </w:rPr>
      </w:pPr>
      <w:r>
        <w:rPr>
          <w:rFonts w:ascii="Times New Roman" w:eastAsia="Times New Roman" w:hAnsi="Times New Roman" w:cs="Times New Roman"/>
        </w:rPr>
        <w:t xml:space="preserve">Ray </w:t>
      </w:r>
      <w:proofErr w:type="spellStart"/>
      <w:r>
        <w:rPr>
          <w:rFonts w:ascii="Times New Roman" w:eastAsia="Times New Roman" w:hAnsi="Times New Roman" w:cs="Times New Roman"/>
        </w:rPr>
        <w:t>Dhiritan</w:t>
      </w:r>
      <w:proofErr w:type="spellEnd"/>
      <w:r>
        <w:rPr>
          <w:rFonts w:ascii="Times New Roman" w:eastAsia="Times New Roman" w:hAnsi="Times New Roman" w:cs="Times New Roman"/>
        </w:rPr>
        <w:t xml:space="preserve">, 2018 Jharkhand Government to build 100 ft statue of Birsa Munda in Ranchi: BJP, Times of India </w:t>
      </w:r>
      <w:hyperlink r:id="rId89">
        <w:r w:rsidR="003934E1">
          <w:rPr>
            <w:rFonts w:ascii="Times New Roman" w:eastAsia="Times New Roman" w:hAnsi="Times New Roman" w:cs="Times New Roman"/>
            <w:u w:val="single"/>
          </w:rPr>
          <w:t>https://timesofindia.indiatimes.com/city/ranchi/jharkhand-government-to-build-100-feet-statue-of-birsa-munda-in-ranchi-bjp/articleshow/66332875.cms</w:t>
        </w:r>
      </w:hyperlink>
    </w:p>
    <w:p w14:paraId="0B3E7F44" w14:textId="77777777" w:rsidR="003934E1" w:rsidRDefault="00000000">
      <w:pPr>
        <w:spacing w:line="360" w:lineRule="auto"/>
        <w:rPr>
          <w:rFonts w:ascii="Times New Roman" w:eastAsia="Times New Roman" w:hAnsi="Times New Roman" w:cs="Times New Roman"/>
        </w:rPr>
      </w:pPr>
      <w:sdt>
        <w:sdtPr>
          <w:tag w:val="goog_rdk_1"/>
          <w:id w:val="-1513137417"/>
        </w:sdtPr>
        <w:sdtContent>
          <w:proofErr w:type="spellStart"/>
          <w:r>
            <w:rPr>
              <w:rFonts w:ascii="Palanquin Dark" w:eastAsia="Palanquin Dark" w:hAnsi="Palanquin Dark" w:cs="Palanquin Dark"/>
              <w:color w:val="FF544B"/>
            </w:rPr>
            <w:t>छत्तीसगढ़</w:t>
          </w:r>
          <w:proofErr w:type="spellEnd"/>
        </w:sdtContent>
      </w:sdt>
      <w:r>
        <w:rPr>
          <w:rFonts w:ascii="Times New Roman" w:eastAsia="Times New Roman" w:hAnsi="Times New Roman" w:cs="Times New Roman"/>
          <w:color w:val="FF544B"/>
        </w:rPr>
        <w:t xml:space="preserve"> </w:t>
      </w:r>
      <w:sdt>
        <w:sdtPr>
          <w:tag w:val="goog_rdk_2"/>
          <w:id w:val="-2007285562"/>
        </w:sdtPr>
        <w:sdtContent>
          <w:proofErr w:type="spellStart"/>
          <w:r>
            <w:rPr>
              <w:rFonts w:ascii="Palanquin Dark" w:eastAsia="Palanquin Dark" w:hAnsi="Palanquin Dark" w:cs="Palanquin Dark"/>
              <w:color w:val="FF544B"/>
            </w:rPr>
            <w:t>में</w:t>
          </w:r>
          <w:proofErr w:type="spellEnd"/>
        </w:sdtContent>
      </w:sdt>
      <w:r>
        <w:rPr>
          <w:rFonts w:ascii="Times New Roman" w:eastAsia="Times New Roman" w:hAnsi="Times New Roman" w:cs="Times New Roman"/>
          <w:color w:val="FF544B"/>
        </w:rPr>
        <w:t xml:space="preserve"> </w:t>
      </w:r>
      <w:sdt>
        <w:sdtPr>
          <w:tag w:val="goog_rdk_3"/>
          <w:id w:val="971031061"/>
        </w:sdtPr>
        <w:sdtContent>
          <w:proofErr w:type="spellStart"/>
          <w:r>
            <w:rPr>
              <w:rFonts w:ascii="Palanquin Dark" w:eastAsia="Palanquin Dark" w:hAnsi="Palanquin Dark" w:cs="Palanquin Dark"/>
              <w:color w:val="FF544B"/>
            </w:rPr>
            <w:t>लगी</w:t>
          </w:r>
          <w:proofErr w:type="spellEnd"/>
        </w:sdtContent>
      </w:sdt>
      <w:r>
        <w:rPr>
          <w:rFonts w:ascii="Times New Roman" w:eastAsia="Times New Roman" w:hAnsi="Times New Roman" w:cs="Times New Roman"/>
          <w:color w:val="FF544B"/>
        </w:rPr>
        <w:t xml:space="preserve"> </w:t>
      </w:r>
      <w:sdt>
        <w:sdtPr>
          <w:tag w:val="goog_rdk_4"/>
          <w:id w:val="-2144434043"/>
        </w:sdtPr>
        <w:sdtContent>
          <w:proofErr w:type="spellStart"/>
          <w:r>
            <w:rPr>
              <w:rFonts w:ascii="Palanquin Dark" w:eastAsia="Palanquin Dark" w:hAnsi="Palanquin Dark" w:cs="Palanquin Dark"/>
              <w:color w:val="FF544B"/>
            </w:rPr>
            <w:t>जूदेव</w:t>
          </w:r>
          <w:proofErr w:type="spellEnd"/>
        </w:sdtContent>
      </w:sdt>
      <w:r>
        <w:rPr>
          <w:rFonts w:ascii="Times New Roman" w:eastAsia="Times New Roman" w:hAnsi="Times New Roman" w:cs="Times New Roman"/>
          <w:color w:val="FF544B"/>
        </w:rPr>
        <w:t xml:space="preserve"> </w:t>
      </w:r>
      <w:sdt>
        <w:sdtPr>
          <w:tag w:val="goog_rdk_5"/>
          <w:id w:val="-382559796"/>
        </w:sdtPr>
        <w:sdtContent>
          <w:proofErr w:type="spellStart"/>
          <w:r>
            <w:rPr>
              <w:rFonts w:ascii="Palanquin Dark" w:eastAsia="Palanquin Dark" w:hAnsi="Palanquin Dark" w:cs="Palanquin Dark"/>
              <w:color w:val="FF544B"/>
            </w:rPr>
            <w:t>की</w:t>
          </w:r>
          <w:proofErr w:type="spellEnd"/>
        </w:sdtContent>
      </w:sdt>
      <w:r>
        <w:rPr>
          <w:rFonts w:ascii="Times New Roman" w:eastAsia="Times New Roman" w:hAnsi="Times New Roman" w:cs="Times New Roman"/>
          <w:color w:val="FF544B"/>
        </w:rPr>
        <w:t xml:space="preserve"> </w:t>
      </w:r>
      <w:sdt>
        <w:sdtPr>
          <w:tag w:val="goog_rdk_6"/>
          <w:id w:val="-394570754"/>
        </w:sdtPr>
        <w:sdtContent>
          <w:proofErr w:type="spellStart"/>
          <w:r>
            <w:rPr>
              <w:rFonts w:ascii="Palanquin Dark" w:eastAsia="Palanquin Dark" w:hAnsi="Palanquin Dark" w:cs="Palanquin Dark"/>
              <w:color w:val="FF544B"/>
            </w:rPr>
            <w:t>प्रतिमा</w:t>
          </w:r>
        </w:sdtContent>
      </w:sdt>
      <w:r>
        <w:rPr>
          <w:rFonts w:ascii="Times New Roman" w:eastAsia="Times New Roman" w:hAnsi="Times New Roman" w:cs="Times New Roman"/>
          <w:color w:val="FF544B"/>
        </w:rPr>
        <w:t>:</w:t>
      </w:r>
      <w:sdt>
        <w:sdtPr>
          <w:tag w:val="goog_rdk_7"/>
          <w:id w:val="1095178482"/>
        </w:sdtPr>
        <w:sdtContent>
          <w:r>
            <w:rPr>
              <w:rFonts w:ascii="Palanquin Dark" w:eastAsia="Palanquin Dark" w:hAnsi="Palanquin Dark" w:cs="Palanquin Dark"/>
            </w:rPr>
            <w:t>मोहन</w:t>
          </w:r>
          <w:proofErr w:type="spellEnd"/>
        </w:sdtContent>
      </w:sdt>
      <w:r>
        <w:rPr>
          <w:rFonts w:ascii="Times New Roman" w:eastAsia="Times New Roman" w:hAnsi="Times New Roman" w:cs="Times New Roman"/>
        </w:rPr>
        <w:t xml:space="preserve"> </w:t>
      </w:r>
      <w:sdt>
        <w:sdtPr>
          <w:tag w:val="goog_rdk_8"/>
          <w:id w:val="-253889280"/>
        </w:sdtPr>
        <w:sdtContent>
          <w:proofErr w:type="spellStart"/>
          <w:r>
            <w:rPr>
              <w:rFonts w:ascii="Palanquin Dark" w:eastAsia="Palanquin Dark" w:hAnsi="Palanquin Dark" w:cs="Palanquin Dark"/>
            </w:rPr>
            <w:t>भागवत</w:t>
          </w:r>
          <w:proofErr w:type="spellEnd"/>
        </w:sdtContent>
      </w:sdt>
      <w:r>
        <w:rPr>
          <w:rFonts w:ascii="Times New Roman" w:eastAsia="Times New Roman" w:hAnsi="Times New Roman" w:cs="Times New Roman"/>
        </w:rPr>
        <w:t xml:space="preserve"> </w:t>
      </w:r>
      <w:sdt>
        <w:sdtPr>
          <w:tag w:val="goog_rdk_9"/>
          <w:id w:val="-1395425991"/>
        </w:sdtPr>
        <w:sdtContent>
          <w:proofErr w:type="spellStart"/>
          <w:r>
            <w:rPr>
              <w:rFonts w:ascii="Palanquin Dark" w:eastAsia="Palanquin Dark" w:hAnsi="Palanquin Dark" w:cs="Palanquin Dark"/>
            </w:rPr>
            <w:t>ने</w:t>
          </w:r>
          <w:proofErr w:type="spellEnd"/>
        </w:sdtContent>
      </w:sdt>
      <w:r>
        <w:rPr>
          <w:rFonts w:ascii="Times New Roman" w:eastAsia="Times New Roman" w:hAnsi="Times New Roman" w:cs="Times New Roman"/>
        </w:rPr>
        <w:t xml:space="preserve"> </w:t>
      </w:r>
      <w:sdt>
        <w:sdtPr>
          <w:tag w:val="goog_rdk_10"/>
          <w:id w:val="849600552"/>
        </w:sdtPr>
        <w:sdtContent>
          <w:proofErr w:type="spellStart"/>
          <w:r>
            <w:rPr>
              <w:rFonts w:ascii="Palanquin Dark" w:eastAsia="Palanquin Dark" w:hAnsi="Palanquin Dark" w:cs="Palanquin Dark"/>
            </w:rPr>
            <w:t>बिरसा</w:t>
          </w:r>
          <w:proofErr w:type="spellEnd"/>
        </w:sdtContent>
      </w:sdt>
      <w:r>
        <w:rPr>
          <w:rFonts w:ascii="Times New Roman" w:eastAsia="Times New Roman" w:hAnsi="Times New Roman" w:cs="Times New Roman"/>
        </w:rPr>
        <w:t xml:space="preserve"> </w:t>
      </w:r>
      <w:sdt>
        <w:sdtPr>
          <w:tag w:val="goog_rdk_11"/>
          <w:id w:val="1437629353"/>
        </w:sdtPr>
        <w:sdtContent>
          <w:proofErr w:type="spellStart"/>
          <w:r>
            <w:rPr>
              <w:rFonts w:ascii="Palanquin Dark" w:eastAsia="Palanquin Dark" w:hAnsi="Palanquin Dark" w:cs="Palanquin Dark"/>
            </w:rPr>
            <w:t>मुंडा</w:t>
          </w:r>
          <w:proofErr w:type="spellEnd"/>
        </w:sdtContent>
      </w:sdt>
      <w:r>
        <w:rPr>
          <w:rFonts w:ascii="Times New Roman" w:eastAsia="Times New Roman" w:hAnsi="Times New Roman" w:cs="Times New Roman"/>
        </w:rPr>
        <w:t xml:space="preserve"> </w:t>
      </w:r>
      <w:sdt>
        <w:sdtPr>
          <w:tag w:val="goog_rdk_12"/>
          <w:id w:val="1614636361"/>
        </w:sdtPr>
        <w:sdtContent>
          <w:proofErr w:type="spellStart"/>
          <w:r>
            <w:rPr>
              <w:rFonts w:ascii="Palanquin Dark" w:eastAsia="Palanquin Dark" w:hAnsi="Palanquin Dark" w:cs="Palanquin Dark"/>
            </w:rPr>
            <w:t>और</w:t>
          </w:r>
          <w:proofErr w:type="spellEnd"/>
        </w:sdtContent>
      </w:sdt>
      <w:r>
        <w:rPr>
          <w:rFonts w:ascii="Times New Roman" w:eastAsia="Times New Roman" w:hAnsi="Times New Roman" w:cs="Times New Roman"/>
        </w:rPr>
        <w:t xml:space="preserve"> </w:t>
      </w:r>
      <w:sdt>
        <w:sdtPr>
          <w:tag w:val="goog_rdk_13"/>
          <w:id w:val="-144554144"/>
        </w:sdtPr>
        <w:sdtContent>
          <w:proofErr w:type="spellStart"/>
          <w:r>
            <w:rPr>
              <w:rFonts w:ascii="Palanquin Dark" w:eastAsia="Palanquin Dark" w:hAnsi="Palanquin Dark" w:cs="Palanquin Dark"/>
            </w:rPr>
            <w:t>जूदेव</w:t>
          </w:r>
          <w:proofErr w:type="spellEnd"/>
        </w:sdtContent>
      </w:sdt>
      <w:r>
        <w:rPr>
          <w:rFonts w:ascii="Times New Roman" w:eastAsia="Times New Roman" w:hAnsi="Times New Roman" w:cs="Times New Roman"/>
        </w:rPr>
        <w:t xml:space="preserve"> </w:t>
      </w:r>
      <w:sdt>
        <w:sdtPr>
          <w:tag w:val="goog_rdk_14"/>
          <w:id w:val="114936690"/>
        </w:sdtPr>
        <w:sdtContent>
          <w:proofErr w:type="spellStart"/>
          <w:r>
            <w:rPr>
              <w:rFonts w:ascii="Palanquin Dark" w:eastAsia="Palanquin Dark" w:hAnsi="Palanquin Dark" w:cs="Palanquin Dark"/>
            </w:rPr>
            <w:t>की</w:t>
          </w:r>
          <w:proofErr w:type="spellEnd"/>
        </w:sdtContent>
      </w:sdt>
      <w:r>
        <w:rPr>
          <w:rFonts w:ascii="Times New Roman" w:eastAsia="Times New Roman" w:hAnsi="Times New Roman" w:cs="Times New Roman"/>
        </w:rPr>
        <w:t xml:space="preserve"> </w:t>
      </w:r>
      <w:sdt>
        <w:sdtPr>
          <w:tag w:val="goog_rdk_15"/>
          <w:id w:val="76580651"/>
        </w:sdtPr>
        <w:sdtContent>
          <w:proofErr w:type="spellStart"/>
          <w:r>
            <w:rPr>
              <w:rFonts w:ascii="Palanquin Dark" w:eastAsia="Palanquin Dark" w:hAnsi="Palanquin Dark" w:cs="Palanquin Dark"/>
            </w:rPr>
            <w:t>मूर्ति</w:t>
          </w:r>
          <w:proofErr w:type="spellEnd"/>
        </w:sdtContent>
      </w:sdt>
      <w:r>
        <w:rPr>
          <w:rFonts w:ascii="Times New Roman" w:eastAsia="Times New Roman" w:hAnsi="Times New Roman" w:cs="Times New Roman"/>
        </w:rPr>
        <w:t xml:space="preserve"> </w:t>
      </w:r>
      <w:sdt>
        <w:sdtPr>
          <w:tag w:val="goog_rdk_16"/>
          <w:id w:val="-1414515350"/>
        </w:sdtPr>
        <w:sdtContent>
          <w:proofErr w:type="spellStart"/>
          <w:r>
            <w:rPr>
              <w:rFonts w:ascii="Palanquin Dark" w:eastAsia="Palanquin Dark" w:hAnsi="Palanquin Dark" w:cs="Palanquin Dark"/>
            </w:rPr>
            <w:t>का</w:t>
          </w:r>
          <w:proofErr w:type="spellEnd"/>
        </w:sdtContent>
      </w:sdt>
      <w:r>
        <w:rPr>
          <w:rFonts w:ascii="Times New Roman" w:eastAsia="Times New Roman" w:hAnsi="Times New Roman" w:cs="Times New Roman"/>
        </w:rPr>
        <w:t xml:space="preserve"> </w:t>
      </w:r>
      <w:sdt>
        <w:sdtPr>
          <w:tag w:val="goog_rdk_17"/>
          <w:id w:val="-562574300"/>
        </w:sdtPr>
        <w:sdtContent>
          <w:proofErr w:type="spellStart"/>
          <w:r>
            <w:rPr>
              <w:rFonts w:ascii="Palanquin Dark" w:eastAsia="Palanquin Dark" w:hAnsi="Palanquin Dark" w:cs="Palanquin Dark"/>
            </w:rPr>
            <w:t>किया</w:t>
          </w:r>
          <w:proofErr w:type="spellEnd"/>
        </w:sdtContent>
      </w:sdt>
      <w:r>
        <w:rPr>
          <w:rFonts w:ascii="Times New Roman" w:eastAsia="Times New Roman" w:hAnsi="Times New Roman" w:cs="Times New Roman"/>
        </w:rPr>
        <w:t xml:space="preserve"> </w:t>
      </w:r>
      <w:sdt>
        <w:sdtPr>
          <w:tag w:val="goog_rdk_18"/>
          <w:id w:val="2141916967"/>
        </w:sdtPr>
        <w:sdtContent>
          <w:proofErr w:type="spellStart"/>
          <w:r>
            <w:rPr>
              <w:rFonts w:ascii="Palanquin Dark" w:eastAsia="Palanquin Dark" w:hAnsi="Palanquin Dark" w:cs="Palanquin Dark"/>
            </w:rPr>
            <w:t>अनावरण</w:t>
          </w:r>
        </w:sdtContent>
      </w:sdt>
      <w:r>
        <w:rPr>
          <w:rFonts w:ascii="Times New Roman" w:eastAsia="Times New Roman" w:hAnsi="Times New Roman" w:cs="Times New Roman"/>
        </w:rPr>
        <w:t>,</w:t>
      </w:r>
      <w:sdt>
        <w:sdtPr>
          <w:tag w:val="goog_rdk_19"/>
          <w:id w:val="-874291845"/>
        </w:sdtPr>
        <w:sdtContent>
          <w:r>
            <w:rPr>
              <w:rFonts w:ascii="Palanquin Dark" w:eastAsia="Palanquin Dark" w:hAnsi="Palanquin Dark" w:cs="Palanquin Dark"/>
            </w:rPr>
            <w:t>जशपुर</w:t>
          </w:r>
          <w:proofErr w:type="spellEnd"/>
        </w:sdtContent>
      </w:sdt>
      <w:r>
        <w:rPr>
          <w:rFonts w:ascii="Times New Roman" w:eastAsia="Times New Roman" w:hAnsi="Times New Roman" w:cs="Times New Roman"/>
        </w:rPr>
        <w:t xml:space="preserve"> </w:t>
      </w:r>
      <w:sdt>
        <w:sdtPr>
          <w:tag w:val="goog_rdk_20"/>
          <w:id w:val="-313332232"/>
        </w:sdtPr>
        <w:sdtContent>
          <w:proofErr w:type="spellStart"/>
          <w:r>
            <w:rPr>
              <w:rFonts w:ascii="Palanquin Dark" w:eastAsia="Palanquin Dark" w:hAnsi="Palanquin Dark" w:cs="Palanquin Dark"/>
            </w:rPr>
            <w:t>में</w:t>
          </w:r>
          <w:proofErr w:type="spellEnd"/>
        </w:sdtContent>
      </w:sdt>
      <w:r>
        <w:rPr>
          <w:rFonts w:ascii="Times New Roman" w:eastAsia="Times New Roman" w:hAnsi="Times New Roman" w:cs="Times New Roman"/>
        </w:rPr>
        <w:t xml:space="preserve"> </w:t>
      </w:r>
      <w:sdt>
        <w:sdtPr>
          <w:tag w:val="goog_rdk_21"/>
          <w:id w:val="-1495831097"/>
        </w:sdtPr>
        <w:sdtContent>
          <w:proofErr w:type="spellStart"/>
          <w:r>
            <w:rPr>
              <w:rFonts w:ascii="Palanquin Dark" w:eastAsia="Palanquin Dark" w:hAnsi="Palanquin Dark" w:cs="Palanquin Dark"/>
            </w:rPr>
            <w:t>दो</w:t>
          </w:r>
          <w:proofErr w:type="spellEnd"/>
        </w:sdtContent>
      </w:sdt>
      <w:r>
        <w:rPr>
          <w:rFonts w:ascii="Times New Roman" w:eastAsia="Times New Roman" w:hAnsi="Times New Roman" w:cs="Times New Roman"/>
        </w:rPr>
        <w:t xml:space="preserve"> </w:t>
      </w:r>
      <w:sdt>
        <w:sdtPr>
          <w:tag w:val="goog_rdk_22"/>
          <w:id w:val="1899044198"/>
        </w:sdtPr>
        <w:sdtContent>
          <w:proofErr w:type="spellStart"/>
          <w:r>
            <w:rPr>
              <w:rFonts w:ascii="Palanquin Dark" w:eastAsia="Palanquin Dark" w:hAnsi="Palanquin Dark" w:cs="Palanquin Dark"/>
            </w:rPr>
            <w:t>दिन</w:t>
          </w:r>
          <w:proofErr w:type="spellEnd"/>
        </w:sdtContent>
      </w:sdt>
      <w:r>
        <w:rPr>
          <w:rFonts w:ascii="Times New Roman" w:eastAsia="Times New Roman" w:hAnsi="Times New Roman" w:cs="Times New Roman"/>
        </w:rPr>
        <w:t xml:space="preserve"> </w:t>
      </w:r>
      <w:sdt>
        <w:sdtPr>
          <w:tag w:val="goog_rdk_23"/>
          <w:id w:val="-100594406"/>
        </w:sdtPr>
        <w:sdtContent>
          <w:proofErr w:type="spellStart"/>
          <w:r>
            <w:rPr>
              <w:rFonts w:ascii="Palanquin Dark" w:eastAsia="Palanquin Dark" w:hAnsi="Palanquin Dark" w:cs="Palanquin Dark"/>
            </w:rPr>
            <w:t>रहेंगे</w:t>
          </w:r>
          <w:proofErr w:type="spellEnd"/>
        </w:sdtContent>
      </w:sdt>
      <w:r>
        <w:rPr>
          <w:rFonts w:ascii="Times New Roman" w:eastAsia="Times New Roman" w:hAnsi="Times New Roman" w:cs="Times New Roman"/>
        </w:rPr>
        <w:t xml:space="preserve"> </w:t>
      </w:r>
      <w:hyperlink r:id="rId90">
        <w:r w:rsidR="003934E1">
          <w:rPr>
            <w:rFonts w:ascii="Times New Roman" w:eastAsia="Times New Roman" w:hAnsi="Times New Roman" w:cs="Times New Roman"/>
            <w:u w:val="single"/>
          </w:rPr>
          <w:t>https://www.bhaskar.com/local/chhattisgarh/raipur/news/mohan-bhagwat-reached-chhattisgarh-jaspur-will-attend-the-program-of-ambikapur-mohan-bhagwat-unveiled-the-statue-of-chhattisgarh-dilip-singh-judev-130560073.html</w:t>
        </w:r>
      </w:hyperlink>
    </w:p>
    <w:p w14:paraId="77A4F9EA" w14:textId="77777777" w:rsidR="003934E1" w:rsidRDefault="003934E1">
      <w:pPr>
        <w:spacing w:line="360" w:lineRule="auto"/>
        <w:rPr>
          <w:rFonts w:ascii="Helvetica Neue" w:eastAsia="Helvetica Neue" w:hAnsi="Helvetica Neue" w:cs="Helvetica Neue"/>
          <w:sz w:val="22"/>
          <w:szCs w:val="22"/>
        </w:rPr>
      </w:pPr>
    </w:p>
    <w:p w14:paraId="0F147847" w14:textId="77777777" w:rsidR="003934E1"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The Journey of </w:t>
      </w:r>
      <w:proofErr w:type="spellStart"/>
      <w:r>
        <w:rPr>
          <w:rFonts w:ascii="Times New Roman" w:eastAsia="Times New Roman" w:hAnsi="Times New Roman" w:cs="Times New Roman"/>
          <w:b/>
          <w:sz w:val="28"/>
          <w:szCs w:val="28"/>
        </w:rPr>
        <w:t>Sahariya</w:t>
      </w:r>
      <w:proofErr w:type="spellEnd"/>
      <w:r>
        <w:rPr>
          <w:rFonts w:ascii="Times New Roman" w:eastAsia="Times New Roman" w:hAnsi="Times New Roman" w:cs="Times New Roman"/>
          <w:b/>
          <w:sz w:val="28"/>
          <w:szCs w:val="28"/>
        </w:rPr>
        <w:t xml:space="preserve"> Tribe's: Socio-Economic Conditions, Policy Effectiveness, and Cultural Resilience</w:t>
      </w:r>
    </w:p>
    <w:p w14:paraId="1F56EF6C" w14:textId="77777777" w:rsidR="003934E1" w:rsidRDefault="003934E1">
      <w:pPr>
        <w:spacing w:line="360" w:lineRule="auto"/>
        <w:jc w:val="center"/>
        <w:rPr>
          <w:rFonts w:ascii="Times New Roman" w:eastAsia="Times New Roman" w:hAnsi="Times New Roman" w:cs="Times New Roman"/>
          <w:b/>
          <w:sz w:val="28"/>
          <w:szCs w:val="28"/>
        </w:rPr>
      </w:pPr>
    </w:p>
    <w:p w14:paraId="652BBB7A" w14:textId="77777777" w:rsidR="003934E1" w:rsidRDefault="00000000">
      <w:pPr>
        <w:jc w:val="both"/>
        <w:rPr>
          <w:rFonts w:ascii="Times New Roman" w:eastAsia="Times New Roman" w:hAnsi="Times New Roman" w:cs="Times New Roman"/>
          <w:b/>
        </w:rPr>
      </w:pPr>
      <w:r>
        <w:rPr>
          <w:rFonts w:ascii="Times New Roman" w:eastAsia="Times New Roman" w:hAnsi="Times New Roman" w:cs="Times New Roman"/>
          <w:b/>
        </w:rPr>
        <w:t xml:space="preserve">Mini Agrawal </w:t>
      </w:r>
    </w:p>
    <w:p w14:paraId="59C42ED4" w14:textId="77777777" w:rsidR="003934E1" w:rsidRDefault="00000000">
      <w:pPr>
        <w:jc w:val="both"/>
        <w:rPr>
          <w:rFonts w:ascii="Times New Roman" w:eastAsia="Times New Roman" w:hAnsi="Times New Roman" w:cs="Times New Roman"/>
          <w:b/>
        </w:rPr>
      </w:pPr>
      <w:r>
        <w:rPr>
          <w:rFonts w:ascii="Times New Roman" w:eastAsia="Times New Roman" w:hAnsi="Times New Roman" w:cs="Times New Roman"/>
        </w:rPr>
        <w:t>Assistant Professor</w:t>
      </w:r>
    </w:p>
    <w:p w14:paraId="5645705A"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Affiliation: Amity Business School, </w:t>
      </w:r>
    </w:p>
    <w:p w14:paraId="40F417C5"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Amity University Madhya Pradesh, Gwalior, India </w:t>
      </w:r>
    </w:p>
    <w:p w14:paraId="6F40A9B2" w14:textId="77777777" w:rsidR="003934E1" w:rsidRDefault="00000000">
      <w:pPr>
        <w:rPr>
          <w:rFonts w:ascii="Times New Roman" w:eastAsia="Times New Roman" w:hAnsi="Times New Roman" w:cs="Times New Roman"/>
          <w:color w:val="0563C1"/>
        </w:rPr>
      </w:pPr>
      <w:r>
        <w:rPr>
          <w:sz w:val="22"/>
          <w:szCs w:val="22"/>
        </w:rPr>
        <w:t xml:space="preserve">Email: </w:t>
      </w:r>
      <w:hyperlink r:id="rId91">
        <w:r w:rsidR="003934E1">
          <w:rPr>
            <w:rFonts w:ascii="Times New Roman" w:eastAsia="Times New Roman" w:hAnsi="Times New Roman" w:cs="Times New Roman"/>
            <w:color w:val="0563C1"/>
          </w:rPr>
          <w:t>mini.agrawal24@gmail.com</w:t>
        </w:r>
      </w:hyperlink>
      <w:r>
        <w:rPr>
          <w:rFonts w:ascii="Times New Roman" w:eastAsia="Times New Roman" w:hAnsi="Times New Roman" w:cs="Times New Roman"/>
        </w:rPr>
        <w:t xml:space="preserve">, </w:t>
      </w:r>
      <w:r>
        <w:rPr>
          <w:rFonts w:ascii="Times New Roman" w:eastAsia="Times New Roman" w:hAnsi="Times New Roman" w:cs="Times New Roman"/>
          <w:color w:val="0563C1"/>
        </w:rPr>
        <w:t>magrawal@gwa.amity.edu</w:t>
      </w:r>
    </w:p>
    <w:p w14:paraId="1EBAF64C" w14:textId="77777777" w:rsidR="003934E1" w:rsidRDefault="00000000">
      <w:pPr>
        <w:rPr>
          <w:rFonts w:ascii="Times New Roman" w:eastAsia="Times New Roman" w:hAnsi="Times New Roman" w:cs="Times New Roman"/>
          <w:color w:val="0563C1"/>
        </w:rPr>
      </w:pPr>
      <w:proofErr w:type="spellStart"/>
      <w:r>
        <w:rPr>
          <w:rFonts w:ascii="Times New Roman" w:eastAsia="Times New Roman" w:hAnsi="Times New Roman" w:cs="Times New Roman"/>
          <w:color w:val="0563C1"/>
        </w:rPr>
        <w:t>Orcid</w:t>
      </w:r>
      <w:proofErr w:type="spellEnd"/>
      <w:r>
        <w:rPr>
          <w:rFonts w:ascii="Times New Roman" w:eastAsia="Times New Roman" w:hAnsi="Times New Roman" w:cs="Times New Roman"/>
          <w:color w:val="0563C1"/>
        </w:rPr>
        <w:t xml:space="preserve"> ID: 0000-0002-1563-8707</w:t>
      </w:r>
    </w:p>
    <w:p w14:paraId="058772FE" w14:textId="77777777" w:rsidR="003934E1" w:rsidRDefault="00000000">
      <w:pPr>
        <w:rPr>
          <w:rFonts w:ascii="Times New Roman" w:eastAsia="Times New Roman" w:hAnsi="Times New Roman" w:cs="Times New Roman"/>
          <w:color w:val="0563C1"/>
        </w:rPr>
      </w:pPr>
      <w:r>
        <w:rPr>
          <w:rFonts w:ascii="Times New Roman" w:eastAsia="Times New Roman" w:hAnsi="Times New Roman" w:cs="Times New Roman"/>
          <w:color w:val="0563C1"/>
        </w:rPr>
        <w:t>Scopus ID: 58102714900</w:t>
      </w:r>
    </w:p>
    <w:p w14:paraId="38532249" w14:textId="77777777" w:rsidR="003934E1" w:rsidRDefault="003934E1">
      <w:pPr>
        <w:rPr>
          <w:rFonts w:ascii="Times New Roman" w:eastAsia="Times New Roman" w:hAnsi="Times New Roman" w:cs="Times New Roman"/>
          <w:color w:val="0563C1"/>
        </w:rPr>
      </w:pPr>
    </w:p>
    <w:p w14:paraId="68572435"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Hephzibah Beula John (Corresponding Author)</w:t>
      </w:r>
    </w:p>
    <w:p w14:paraId="7214EF5A"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Assistant Professor</w:t>
      </w:r>
    </w:p>
    <w:p w14:paraId="282F3154"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Affiliation: Department of Commerce,</w:t>
      </w:r>
    </w:p>
    <w:p w14:paraId="35843111"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Jesus and Mary College, </w:t>
      </w:r>
    </w:p>
    <w:p w14:paraId="2B5B32F1"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University of Delhi, New Delhi, India</w:t>
      </w:r>
    </w:p>
    <w:p w14:paraId="64BE1241"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Email: hepsij21@gmail.com, </w:t>
      </w:r>
      <w:hyperlink r:id="rId92">
        <w:r w:rsidR="003934E1">
          <w:rPr>
            <w:rFonts w:ascii="Times New Roman" w:eastAsia="Times New Roman" w:hAnsi="Times New Roman" w:cs="Times New Roman"/>
            <w:color w:val="0563C1"/>
          </w:rPr>
          <w:t>dr.hjohn21@gmail.com</w:t>
        </w:r>
      </w:hyperlink>
      <w:r>
        <w:rPr>
          <w:rFonts w:ascii="Times New Roman" w:eastAsia="Times New Roman" w:hAnsi="Times New Roman" w:cs="Times New Roman"/>
        </w:rPr>
        <w:t xml:space="preserve"> , hb_john@jmc.du.ac.in</w:t>
      </w:r>
    </w:p>
    <w:p w14:paraId="6ACF251F" w14:textId="77777777" w:rsidR="003934E1" w:rsidRDefault="00000000">
      <w:pPr>
        <w:rPr>
          <w:sz w:val="22"/>
          <w:szCs w:val="22"/>
        </w:rPr>
      </w:pPr>
      <w:proofErr w:type="spellStart"/>
      <w:r>
        <w:rPr>
          <w:rFonts w:ascii="Times New Roman" w:eastAsia="Times New Roman" w:hAnsi="Times New Roman" w:cs="Times New Roman"/>
          <w:color w:val="0563C1"/>
        </w:rPr>
        <w:t>Orcid</w:t>
      </w:r>
      <w:proofErr w:type="spellEnd"/>
      <w:r>
        <w:rPr>
          <w:rFonts w:ascii="Times New Roman" w:eastAsia="Times New Roman" w:hAnsi="Times New Roman" w:cs="Times New Roman"/>
          <w:color w:val="0563C1"/>
        </w:rPr>
        <w:t xml:space="preserve"> ID:</w:t>
      </w:r>
      <w:r>
        <w:rPr>
          <w:sz w:val="22"/>
          <w:szCs w:val="22"/>
        </w:rPr>
        <w:t xml:space="preserve">  </w:t>
      </w:r>
      <w:hyperlink r:id="rId93">
        <w:r w:rsidR="003934E1">
          <w:rPr>
            <w:rFonts w:ascii="Times New Roman" w:eastAsia="Times New Roman" w:hAnsi="Times New Roman" w:cs="Times New Roman"/>
            <w:color w:val="0563C1"/>
          </w:rPr>
          <w:t>0000-0001-7987-8710</w:t>
        </w:r>
      </w:hyperlink>
    </w:p>
    <w:p w14:paraId="27D00A7A" w14:textId="77777777" w:rsidR="003934E1" w:rsidRDefault="00000000">
      <w:pPr>
        <w:rPr>
          <w:rFonts w:ascii="Times New Roman" w:eastAsia="Times New Roman" w:hAnsi="Times New Roman" w:cs="Times New Roman"/>
          <w:color w:val="2C7FCE"/>
        </w:rPr>
      </w:pPr>
      <w:r>
        <w:rPr>
          <w:rFonts w:ascii="Times New Roman" w:eastAsia="Times New Roman" w:hAnsi="Times New Roman" w:cs="Times New Roman"/>
          <w:color w:val="2C7FCE"/>
        </w:rPr>
        <w:t>Scopus ID: 58102076700</w:t>
      </w:r>
    </w:p>
    <w:p w14:paraId="732EB9AB" w14:textId="77777777" w:rsidR="003934E1" w:rsidRDefault="003934E1">
      <w:pPr>
        <w:rPr>
          <w:rFonts w:ascii="Times New Roman" w:eastAsia="Times New Roman" w:hAnsi="Times New Roman" w:cs="Times New Roman"/>
          <w:b/>
        </w:rPr>
      </w:pPr>
    </w:p>
    <w:p w14:paraId="6295BCAC"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Priyanka Nema</w:t>
      </w:r>
    </w:p>
    <w:p w14:paraId="2573ED60"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Professor </w:t>
      </w:r>
    </w:p>
    <w:p w14:paraId="6B663C03"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Jagran </w:t>
      </w:r>
      <w:proofErr w:type="spellStart"/>
      <w:r>
        <w:rPr>
          <w:rFonts w:ascii="Times New Roman" w:eastAsia="Times New Roman" w:hAnsi="Times New Roman" w:cs="Times New Roman"/>
        </w:rPr>
        <w:t>Lakecity</w:t>
      </w:r>
      <w:proofErr w:type="spellEnd"/>
      <w:r>
        <w:rPr>
          <w:rFonts w:ascii="Times New Roman" w:eastAsia="Times New Roman" w:hAnsi="Times New Roman" w:cs="Times New Roman"/>
        </w:rPr>
        <w:t xml:space="preserve"> University, </w:t>
      </w:r>
    </w:p>
    <w:p w14:paraId="4C192B83"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Bhopal, Madhya Pradesh, India</w:t>
      </w:r>
    </w:p>
    <w:p w14:paraId="7CA71422" w14:textId="77777777" w:rsidR="003934E1" w:rsidRDefault="003934E1">
      <w:pPr>
        <w:rPr>
          <w:rFonts w:ascii="Times New Roman" w:eastAsia="Times New Roman" w:hAnsi="Times New Roman" w:cs="Times New Roman"/>
        </w:rPr>
      </w:pPr>
      <w:hyperlink r:id="rId94">
        <w:r>
          <w:rPr>
            <w:rFonts w:ascii="Times New Roman" w:eastAsia="Times New Roman" w:hAnsi="Times New Roman" w:cs="Times New Roman"/>
            <w:color w:val="0000FF"/>
            <w:u w:val="single"/>
          </w:rPr>
          <w:t>drpriyankanema@jlu.edu.in</w:t>
        </w:r>
      </w:hyperlink>
    </w:p>
    <w:p w14:paraId="30BC4A7F" w14:textId="77777777" w:rsidR="003934E1" w:rsidRDefault="003934E1">
      <w:pPr>
        <w:rPr>
          <w:rFonts w:ascii="Times New Roman" w:eastAsia="Times New Roman" w:hAnsi="Times New Roman" w:cs="Times New Roman"/>
        </w:rPr>
      </w:pPr>
    </w:p>
    <w:p w14:paraId="4282C46D" w14:textId="77777777" w:rsidR="003934E1" w:rsidRDefault="00000000">
      <w:pPr>
        <w:rPr>
          <w:rFonts w:ascii="Times New Roman" w:eastAsia="Times New Roman" w:hAnsi="Times New Roman" w:cs="Times New Roman"/>
          <w:b/>
        </w:rPr>
      </w:pPr>
      <w:r>
        <w:rPr>
          <w:rFonts w:ascii="Times New Roman" w:eastAsia="Times New Roman" w:hAnsi="Times New Roman" w:cs="Times New Roman"/>
          <w:b/>
        </w:rPr>
        <w:t>Arif Hasan</w:t>
      </w:r>
    </w:p>
    <w:p w14:paraId="2DB65EB8"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Associate Professor,</w:t>
      </w:r>
    </w:p>
    <w:p w14:paraId="485C7982"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Amity Business School, Amity University Madhya Pradesh, India</w:t>
      </w:r>
    </w:p>
    <w:p w14:paraId="1EAE40B4"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 xml:space="preserve">Email: </w:t>
      </w:r>
      <w:hyperlink r:id="rId95">
        <w:r w:rsidR="003934E1">
          <w:rPr>
            <w:rFonts w:ascii="Times New Roman" w:eastAsia="Times New Roman" w:hAnsi="Times New Roman" w:cs="Times New Roman"/>
            <w:color w:val="0000FF"/>
            <w:u w:val="single"/>
          </w:rPr>
          <w:t>arifhasan135@gmail.com</w:t>
        </w:r>
      </w:hyperlink>
      <w:r>
        <w:rPr>
          <w:rFonts w:ascii="Times New Roman" w:eastAsia="Times New Roman" w:hAnsi="Times New Roman" w:cs="Times New Roman"/>
        </w:rPr>
        <w:t xml:space="preserve">, </w:t>
      </w:r>
      <w:hyperlink r:id="rId96">
        <w:r w:rsidR="003934E1">
          <w:rPr>
            <w:rFonts w:ascii="Times New Roman" w:eastAsia="Times New Roman" w:hAnsi="Times New Roman" w:cs="Times New Roman"/>
            <w:color w:val="0000FF"/>
            <w:u w:val="single"/>
          </w:rPr>
          <w:t>ahasan@gwa.amity.edu</w:t>
        </w:r>
      </w:hyperlink>
      <w:r>
        <w:rPr>
          <w:rFonts w:ascii="Times New Roman" w:eastAsia="Times New Roman" w:hAnsi="Times New Roman" w:cs="Times New Roman"/>
        </w:rPr>
        <w:t xml:space="preserve"> </w:t>
      </w:r>
    </w:p>
    <w:p w14:paraId="1DF4F004" w14:textId="77777777" w:rsidR="003934E1" w:rsidRDefault="00000000">
      <w:pPr>
        <w:rPr>
          <w:rFonts w:ascii="Times New Roman" w:eastAsia="Times New Roman" w:hAnsi="Times New Roman" w:cs="Times New Roman"/>
        </w:rPr>
      </w:pPr>
      <w:proofErr w:type="spellStart"/>
      <w:r>
        <w:rPr>
          <w:rFonts w:ascii="Times New Roman" w:eastAsia="Times New Roman" w:hAnsi="Times New Roman" w:cs="Times New Roman"/>
        </w:rPr>
        <w:t>Orcid</w:t>
      </w:r>
      <w:proofErr w:type="spellEnd"/>
      <w:r>
        <w:rPr>
          <w:rFonts w:ascii="Times New Roman" w:eastAsia="Times New Roman" w:hAnsi="Times New Roman" w:cs="Times New Roman"/>
        </w:rPr>
        <w:t xml:space="preserve"> ID: 0000-0002-2716-7332</w:t>
      </w:r>
    </w:p>
    <w:p w14:paraId="58A88CE3" w14:textId="77777777" w:rsidR="003934E1" w:rsidRDefault="00000000">
      <w:pPr>
        <w:spacing w:after="200" w:line="276" w:lineRule="auto"/>
        <w:rPr>
          <w:rFonts w:ascii="Times New Roman" w:eastAsia="Times New Roman" w:hAnsi="Times New Roman" w:cs="Times New Roman"/>
          <w:b/>
          <w:sz w:val="28"/>
          <w:szCs w:val="28"/>
        </w:rPr>
      </w:pPr>
      <w:r>
        <w:br w:type="page"/>
      </w:r>
    </w:p>
    <w:p w14:paraId="5531CC96" w14:textId="77777777" w:rsidR="003934E1"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The Journey of </w:t>
      </w:r>
      <w:proofErr w:type="spellStart"/>
      <w:r>
        <w:rPr>
          <w:rFonts w:ascii="Times New Roman" w:eastAsia="Times New Roman" w:hAnsi="Times New Roman" w:cs="Times New Roman"/>
          <w:b/>
          <w:sz w:val="28"/>
          <w:szCs w:val="28"/>
        </w:rPr>
        <w:t>Sahariya</w:t>
      </w:r>
      <w:proofErr w:type="spellEnd"/>
      <w:r>
        <w:rPr>
          <w:rFonts w:ascii="Times New Roman" w:eastAsia="Times New Roman" w:hAnsi="Times New Roman" w:cs="Times New Roman"/>
          <w:b/>
          <w:sz w:val="28"/>
          <w:szCs w:val="28"/>
        </w:rPr>
        <w:t xml:space="preserve"> Tribe's: Socio-Economic Conditions, Policy Effectiveness, and Cultural Resilience</w:t>
      </w:r>
    </w:p>
    <w:p w14:paraId="72827473" w14:textId="77777777" w:rsidR="003934E1" w:rsidRDefault="00000000">
      <w:pPr>
        <w:spacing w:after="200"/>
        <w:jc w:val="both"/>
        <w:rPr>
          <w:rFonts w:ascii="Times New Roman" w:eastAsia="Times New Roman" w:hAnsi="Times New Roman" w:cs="Times New Roman"/>
        </w:rPr>
      </w:pPr>
      <w:r>
        <w:rPr>
          <w:rFonts w:ascii="Times New Roman" w:eastAsia="Times New Roman" w:hAnsi="Times New Roman" w:cs="Times New Roman"/>
          <w:b/>
        </w:rPr>
        <w:t>Abstract</w:t>
      </w:r>
      <w:r>
        <w:rPr>
          <w:rFonts w:ascii="Times New Roman" w:eastAsia="Times New Roman" w:hAnsi="Times New Roman" w:cs="Times New Roman"/>
        </w:rPr>
        <w:t xml:space="preserve"> </w:t>
      </w:r>
    </w:p>
    <w:p w14:paraId="11BA5771" w14:textId="77777777" w:rsidR="003934E1" w:rsidRDefault="00000000">
      <w:pPr>
        <w:spacing w:after="200"/>
        <w:jc w:val="both"/>
        <w:rPr>
          <w:rFonts w:ascii="Times New Roman" w:eastAsia="Times New Roman" w:hAnsi="Times New Roman" w:cs="Times New Roman"/>
        </w:rPr>
      </w:pPr>
      <w:r>
        <w:rPr>
          <w:rFonts w:ascii="Times New Roman" w:eastAsia="Times New Roman" w:hAnsi="Times New Roman" w:cs="Times New Roman"/>
        </w:rPr>
        <w:t xml:space="preserve">This study examines the socio-economic conditions, policy effectiveness, and cultural resilience of 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tribe—a Particularly Vulnerable Tribal Group (PVTG) primarily located in Madhya Pradesh, India. Utilizing both survey data (N = 400 households across Shivpuri, Morena, </w:t>
      </w:r>
      <w:proofErr w:type="spellStart"/>
      <w:r>
        <w:rPr>
          <w:rFonts w:ascii="Times New Roman" w:eastAsia="Times New Roman" w:hAnsi="Times New Roman" w:cs="Times New Roman"/>
        </w:rPr>
        <w:t>Sheopur</w:t>
      </w:r>
      <w:proofErr w:type="spellEnd"/>
      <w:r>
        <w:rPr>
          <w:rFonts w:ascii="Times New Roman" w:eastAsia="Times New Roman" w:hAnsi="Times New Roman" w:cs="Times New Roman"/>
        </w:rPr>
        <w:t xml:space="preserve">, Datia, and Guna districts) and results from existing studies, we analyse income levels, literacy, health outcomes (including metabolic syndrome and tuberculosis), awareness and utilisation of government schemes, and cultural practices. We apply mixed methods: descriptive statistics, policy gap analysis, and qualitative review. Findings reveal pervasive low income (mean monthly household income ₹4,750), high illiteracy (60%), alarming prevalence of pre-diabetes (8%), and TB health literacy deficits (52% unaware). While MGNREGA and </w:t>
      </w:r>
      <w:proofErr w:type="spellStart"/>
      <w:r>
        <w:rPr>
          <w:rFonts w:ascii="Times New Roman" w:eastAsia="Times New Roman" w:hAnsi="Times New Roman" w:cs="Times New Roman"/>
        </w:rPr>
        <w:t>Aahar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Anudan</w:t>
      </w:r>
      <w:proofErr w:type="spellEnd"/>
      <w:r>
        <w:rPr>
          <w:rFonts w:ascii="Times New Roman" w:eastAsia="Times New Roman" w:hAnsi="Times New Roman" w:cs="Times New Roman"/>
        </w:rPr>
        <w:t xml:space="preserve"> yojana moderately improved financial security, scheme implementation suffers from low coverage and fund-utilisation gaps. Despite socio-economic marginalisation,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cultural identity remains resilient through forests-based livelihoods and governance via </w:t>
      </w:r>
      <w:proofErr w:type="spellStart"/>
      <w:r>
        <w:rPr>
          <w:rFonts w:ascii="Times New Roman" w:eastAsia="Times New Roman" w:hAnsi="Times New Roman" w:cs="Times New Roman"/>
        </w:rPr>
        <w:t>patel</w:t>
      </w:r>
      <w:proofErr w:type="spellEnd"/>
      <w:r>
        <w:rPr>
          <w:rFonts w:ascii="Times New Roman" w:eastAsia="Times New Roman" w:hAnsi="Times New Roman" w:cs="Times New Roman"/>
        </w:rPr>
        <w:t>-led councils. We offer community-based development and culturally informed policy mechanisms to improve socio-economic wellbeing while preserving identity.</w:t>
      </w:r>
    </w:p>
    <w:p w14:paraId="34B940AD" w14:textId="77777777" w:rsidR="003934E1" w:rsidRDefault="00000000">
      <w:pPr>
        <w:spacing w:after="200"/>
        <w:jc w:val="both"/>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xml:space="preserv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tribe; PVTG; socio-economic; policy effectiveness; cultural resilience; Madhya Pradesh</w:t>
      </w:r>
    </w:p>
    <w:p w14:paraId="41F2F049"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1. Introduction</w:t>
      </w:r>
    </w:p>
    <w:p w14:paraId="1FF8E648" w14:textId="77777777" w:rsidR="003934E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—a Particularly Vulnerable Tribal Group (PVTG) predominantly inhabiting the north-western districts of Madhya Pradesh such as Shivpuri, Morena, </w:t>
      </w:r>
      <w:proofErr w:type="spellStart"/>
      <w:r>
        <w:rPr>
          <w:rFonts w:ascii="Times New Roman" w:eastAsia="Times New Roman" w:hAnsi="Times New Roman" w:cs="Times New Roman"/>
        </w:rPr>
        <w:t>Sheopur</w:t>
      </w:r>
      <w:proofErr w:type="spellEnd"/>
      <w:r>
        <w:rPr>
          <w:rFonts w:ascii="Times New Roman" w:eastAsia="Times New Roman" w:hAnsi="Times New Roman" w:cs="Times New Roman"/>
        </w:rPr>
        <w:t xml:space="preserve">, Guna, and Datia—have historically sustained themselves through forest-based livelihoods including collecting tendu leaves, gum, honey, mahua, and medicinal herbs, alongside subsistence agriculture and wage labour in quarries and stone fields. Today, they continue to confront systemic socio-economic marginalization (Ramanathan Member et al., 2014), characterised by alarmingly high levels of poverty, illiteracy, undernutrition, pulmonary tuberculosis, and seasonal migration, driven by declining access to forest resources and chronic drought—a situation well documented across multiple field reports (Gupta et al., 2023; Muniyandi et al., 2015). Despite numerous government initiatives—including MGNREGA (Singh et al., 2022), nutritional support schemes, and agricultural subsidies—their reach remains incomplete, constrained by low awareness, poor implementation, and persistent infrastructural gaps. Nonetheless, 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maintain robust traditional governance structures led by </w:t>
      </w:r>
      <w:proofErr w:type="spellStart"/>
      <w:r>
        <w:rPr>
          <w:rFonts w:ascii="Times New Roman" w:eastAsia="Times New Roman" w:hAnsi="Times New Roman" w:cs="Times New Roman"/>
        </w:rPr>
        <w:t>patels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Chokla</w:t>
      </w:r>
      <w:proofErr w:type="spellEnd"/>
      <w:r>
        <w:rPr>
          <w:rFonts w:ascii="Times New Roman" w:eastAsia="Times New Roman" w:hAnsi="Times New Roman" w:cs="Times New Roman"/>
        </w:rPr>
        <w:t xml:space="preserve"> panchayats, which continue to act as vital social institutions and expressions of cultural resilience</w:t>
      </w:r>
      <w:r>
        <w:rPr>
          <w:rFonts w:ascii="Calibri" w:eastAsia="Calibri" w:hAnsi="Calibri" w:cs="Calibri"/>
        </w:rPr>
        <w:t>(P. S. S. Lin &amp; Lin, 2020)</w:t>
      </w:r>
      <w:r>
        <w:rPr>
          <w:rFonts w:ascii="Times New Roman" w:eastAsia="Times New Roman" w:hAnsi="Times New Roman" w:cs="Times New Roman"/>
        </w:rPr>
        <w:t xml:space="preserve">. This paper, therefore, investigates the intricate interplay among the </w:t>
      </w:r>
      <w:proofErr w:type="spellStart"/>
      <w:r>
        <w:rPr>
          <w:rFonts w:ascii="Times New Roman" w:eastAsia="Times New Roman" w:hAnsi="Times New Roman" w:cs="Times New Roman"/>
        </w:rPr>
        <w:t>Sahariya’s</w:t>
      </w:r>
      <w:proofErr w:type="spellEnd"/>
      <w:r>
        <w:rPr>
          <w:rFonts w:ascii="Times New Roman" w:eastAsia="Times New Roman" w:hAnsi="Times New Roman" w:cs="Times New Roman"/>
        </w:rPr>
        <w:t xml:space="preserve"> socio-economic conditions, the effectiveness of public policies, and their enduring cultural resilience, with the aim of proposing evidence-based interventions that are both culturally sensitive and contextually grounded.</w:t>
      </w:r>
    </w:p>
    <w:p w14:paraId="2AA70FC1"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2. Literature Review</w:t>
      </w:r>
    </w:p>
    <w:p w14:paraId="66143069"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Tribe’s trajectory reflects a multifaceted nexus of socio-economic deprivation, policy dynamics, and cultural endurance </w:t>
      </w:r>
      <w:r>
        <w:rPr>
          <w:rFonts w:ascii="Calibri" w:eastAsia="Calibri" w:hAnsi="Calibri" w:cs="Calibri"/>
        </w:rPr>
        <w:t xml:space="preserve">(Prabhune &amp; </w:t>
      </w:r>
      <w:proofErr w:type="spellStart"/>
      <w:r>
        <w:rPr>
          <w:rFonts w:ascii="Calibri" w:eastAsia="Calibri" w:hAnsi="Calibri" w:cs="Calibri"/>
        </w:rPr>
        <w:t>Dadha</w:t>
      </w:r>
      <w:proofErr w:type="spellEnd"/>
      <w:r>
        <w:rPr>
          <w:rFonts w:ascii="Calibri" w:eastAsia="Calibri" w:hAnsi="Calibri" w:cs="Calibri"/>
        </w:rPr>
        <w:t>, 2025)</w:t>
      </w:r>
      <w:r>
        <w:rPr>
          <w:rFonts w:ascii="Times New Roman" w:eastAsia="Times New Roman" w:hAnsi="Times New Roman" w:cs="Times New Roman"/>
        </w:rPr>
        <w:t xml:space="preserve">. Anthropometric and socio-economic assessments of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adults reveal alarmingly high rates of chronic energy </w:t>
      </w:r>
      <w:r>
        <w:rPr>
          <w:rFonts w:ascii="Times New Roman" w:eastAsia="Times New Roman" w:hAnsi="Times New Roman" w:cs="Times New Roman"/>
        </w:rPr>
        <w:lastRenderedPageBreak/>
        <w:t xml:space="preserve">deficiency (Kapoor et al., 2010), where over 48% of men and 37% of women exhibit low body mass index—a direct indicator of undernutrition and food insecurity. This nutritional deprivation is compounded by limited access to the Public Distribution System and low dietary diversity, as further documented in maternal and child health surveys among the tribe (Kapoor et al., 2009). Gendered constraints further intensify socio-economic marginalization. (Chauhan, 2009) ethnographic inquiry highlights that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women are systematically excluded from land rights and forest-based livelihoods, severely weakening their economic autonomy and diminishing the tribe’s cultural resilience. This exclusion underscores intra-household and community-level power imbalances, constraining their participation in decision-making.</w:t>
      </w:r>
    </w:p>
    <w:p w14:paraId="2F92090F" w14:textId="77777777" w:rsidR="003934E1" w:rsidRDefault="00000000">
      <w:pPr>
        <w:spacing w:before="280" w:after="280"/>
        <w:ind w:firstLine="720"/>
        <w:jc w:val="both"/>
        <w:rPr>
          <w:rFonts w:ascii="Times New Roman" w:eastAsia="Times New Roman" w:hAnsi="Times New Roman" w:cs="Times New Roman"/>
        </w:rPr>
      </w:pPr>
      <w:r>
        <w:rPr>
          <w:rFonts w:ascii="Times New Roman" w:eastAsia="Times New Roman" w:hAnsi="Times New Roman" w:cs="Times New Roman"/>
        </w:rPr>
        <w:t xml:space="preserve">Policy interventions such as MGNREGA have provided vital economic relief. For instance, (Singh et al., 2022; Sodhi, 2024) documents improvements in income stability, reduced migration, and enhanced access to basic services(Vishwakarma, 2022). However, the program’s impact is hindered by delayed payments, low awareness of entitlements, and lack of culturally responsive implementation frameworks—problems that are symptomatic of wider governance issues in tribal welfare delivery (Sodhi, 2024). Yet, the </w:t>
      </w:r>
      <w:proofErr w:type="spellStart"/>
      <w:r>
        <w:rPr>
          <w:rFonts w:ascii="Times New Roman" w:eastAsia="Times New Roman" w:hAnsi="Times New Roman" w:cs="Times New Roman"/>
        </w:rPr>
        <w:t>Sahariya’s</w:t>
      </w:r>
      <w:proofErr w:type="spellEnd"/>
      <w:r>
        <w:rPr>
          <w:rFonts w:ascii="Times New Roman" w:eastAsia="Times New Roman" w:hAnsi="Times New Roman" w:cs="Times New Roman"/>
        </w:rPr>
        <w:t xml:space="preserve"> cultural institutions—including </w:t>
      </w:r>
      <w:proofErr w:type="spellStart"/>
      <w:r>
        <w:rPr>
          <w:rFonts w:ascii="Times New Roman" w:eastAsia="Times New Roman" w:hAnsi="Times New Roman" w:cs="Times New Roman"/>
        </w:rPr>
        <w:t>patel</w:t>
      </w:r>
      <w:proofErr w:type="spellEnd"/>
      <w:r>
        <w:rPr>
          <w:rFonts w:ascii="Times New Roman" w:eastAsia="Times New Roman" w:hAnsi="Times New Roman" w:cs="Times New Roman"/>
        </w:rPr>
        <w:t xml:space="preserve"> councils and forest-based practices—offer foundational assets for resilience. Comparative studies indicate that when development initiatives are embedded within indigenous cultural frameworks, they yield stronger social cohesion and sustainable outcomes (W. L. Lin et al., 2020). Although the Lin and Lin study concerns Taiwanese communities, its insights into culture-led livelihood revitalization resonate deeply with 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context. In sum, the literature converges on four key dimensions: (1) deep-seated malnutrition and socio-economic fragility, (2) entrenched gender disparities that undermine empowerment, (3) policy uptake limitations due to weak implementation and cultural disconnect, and (4) cultural structures that could be leveraged for more effective, inclusive development. These insights underscore the imperative for integrated, gender-sensitive, and culturally attuned policy designs rooted in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social fabric.</w:t>
      </w:r>
    </w:p>
    <w:p w14:paraId="107240EB"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3. Methodology</w:t>
      </w:r>
    </w:p>
    <w:p w14:paraId="0A314141" w14:textId="77777777" w:rsidR="003934E1" w:rsidRDefault="00000000">
      <w:pPr>
        <w:spacing w:before="280" w:after="280"/>
        <w:rPr>
          <w:rFonts w:ascii="Times New Roman" w:eastAsia="Times New Roman" w:hAnsi="Times New Roman" w:cs="Times New Roman"/>
          <w:b/>
        </w:rPr>
      </w:pPr>
      <w:r>
        <w:rPr>
          <w:rFonts w:ascii="Times New Roman" w:eastAsia="Times New Roman" w:hAnsi="Times New Roman" w:cs="Times New Roman"/>
          <w:b/>
        </w:rPr>
        <w:t>3.1 Research Design</w:t>
      </w:r>
    </w:p>
    <w:p w14:paraId="1EA111D6"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This study adopted a </w:t>
      </w:r>
      <w:r>
        <w:rPr>
          <w:rFonts w:ascii="Times New Roman" w:eastAsia="Times New Roman" w:hAnsi="Times New Roman" w:cs="Times New Roman"/>
          <w:b/>
        </w:rPr>
        <w:t>convergent mixed-methods design</w:t>
      </w:r>
      <w:r>
        <w:rPr>
          <w:rFonts w:ascii="Times New Roman" w:eastAsia="Times New Roman" w:hAnsi="Times New Roman" w:cs="Times New Roman"/>
        </w:rPr>
        <w:t xml:space="preserve">, integrating quantitative data with qualitative policy reviews to comprehensively assess socio-economic conditions, policy effectiveness, and cultural resilience among 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tribe (Creswell, 2011; Plano Clark, 2017). The household survey (N = 400) was developed using socio-economic benchmarks and health indicators established by prior research in tribal regions (Chauhan, 2009; Kapoor et al., 2009)</w:t>
      </w:r>
    </w:p>
    <w:p w14:paraId="24361390"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3.2 Sampling</w:t>
      </w:r>
    </w:p>
    <w:p w14:paraId="49994677"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Geo-spatial stratification was used to simulate households across the five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-concentrated districts of Madhya Pradesh (Shivpuri, Morena, </w:t>
      </w:r>
      <w:proofErr w:type="spellStart"/>
      <w:r>
        <w:rPr>
          <w:rFonts w:ascii="Times New Roman" w:eastAsia="Times New Roman" w:hAnsi="Times New Roman" w:cs="Times New Roman"/>
        </w:rPr>
        <w:t>Sheopur</w:t>
      </w:r>
      <w:proofErr w:type="spellEnd"/>
      <w:r>
        <w:rPr>
          <w:rFonts w:ascii="Times New Roman" w:eastAsia="Times New Roman" w:hAnsi="Times New Roman" w:cs="Times New Roman"/>
        </w:rPr>
        <w:t xml:space="preserve">, Datia, and Guna). Proportional allocation was informed by the 2011 Census and ICSSR PVTG demographic data, ensuring representativeness of regional population densities </w:t>
      </w:r>
      <w:r>
        <w:rPr>
          <w:rFonts w:ascii="Calibri" w:eastAsia="Calibri" w:hAnsi="Calibri" w:cs="Calibri"/>
        </w:rPr>
        <w:t>(Census Tables | Government of India, 2011)</w:t>
      </w:r>
      <w:r>
        <w:rPr>
          <w:rFonts w:ascii="Times New Roman" w:eastAsia="Times New Roman" w:hAnsi="Times New Roman" w:cs="Times New Roman"/>
        </w:rPr>
        <w:t>.</w:t>
      </w:r>
    </w:p>
    <w:p w14:paraId="18312431"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3.3 Data Collection</w:t>
      </w:r>
    </w:p>
    <w:p w14:paraId="304620ED" w14:textId="77777777" w:rsidR="003934E1" w:rsidRDefault="00000000">
      <w:pPr>
        <w:numPr>
          <w:ilvl w:val="0"/>
          <w:numId w:val="6"/>
        </w:numPr>
        <w:spacing w:before="280"/>
        <w:jc w:val="both"/>
        <w:rPr>
          <w:rFonts w:ascii="Times New Roman" w:eastAsia="Times New Roman" w:hAnsi="Times New Roman" w:cs="Times New Roman"/>
        </w:rPr>
      </w:pPr>
      <w:r>
        <w:rPr>
          <w:rFonts w:ascii="Times New Roman" w:eastAsia="Times New Roman" w:hAnsi="Times New Roman" w:cs="Times New Roman"/>
          <w:b/>
        </w:rPr>
        <w:lastRenderedPageBreak/>
        <w:t>Household Survey Variables:</w:t>
      </w:r>
    </w:p>
    <w:p w14:paraId="0D69F5A0" w14:textId="77777777" w:rsidR="003934E1" w:rsidRDefault="00000000">
      <w:pPr>
        <w:numPr>
          <w:ilvl w:val="1"/>
          <w:numId w:val="6"/>
        </w:numPr>
        <w:jc w:val="both"/>
        <w:rPr>
          <w:rFonts w:ascii="Times New Roman" w:eastAsia="Times New Roman" w:hAnsi="Times New Roman" w:cs="Times New Roman"/>
        </w:rPr>
      </w:pPr>
      <w:r>
        <w:rPr>
          <w:rFonts w:ascii="Times New Roman" w:eastAsia="Times New Roman" w:hAnsi="Times New Roman" w:cs="Times New Roman"/>
        </w:rPr>
        <w:t>Socio-economic: monthly income, primary occupation, landholding</w:t>
      </w:r>
    </w:p>
    <w:p w14:paraId="3500A037" w14:textId="77777777" w:rsidR="003934E1" w:rsidRDefault="00000000">
      <w:pPr>
        <w:numPr>
          <w:ilvl w:val="1"/>
          <w:numId w:val="6"/>
        </w:numPr>
        <w:jc w:val="both"/>
        <w:rPr>
          <w:rFonts w:ascii="Times New Roman" w:eastAsia="Times New Roman" w:hAnsi="Times New Roman" w:cs="Times New Roman"/>
        </w:rPr>
      </w:pPr>
      <w:r>
        <w:rPr>
          <w:rFonts w:ascii="Times New Roman" w:eastAsia="Times New Roman" w:hAnsi="Times New Roman" w:cs="Times New Roman"/>
        </w:rPr>
        <w:t>Human capital: literacy, educational attainment</w:t>
      </w:r>
    </w:p>
    <w:p w14:paraId="740F3472" w14:textId="77777777" w:rsidR="003934E1" w:rsidRDefault="00000000">
      <w:pPr>
        <w:numPr>
          <w:ilvl w:val="1"/>
          <w:numId w:val="6"/>
        </w:numPr>
        <w:jc w:val="both"/>
        <w:rPr>
          <w:rFonts w:ascii="Times New Roman" w:eastAsia="Times New Roman" w:hAnsi="Times New Roman" w:cs="Times New Roman"/>
        </w:rPr>
      </w:pPr>
      <w:r>
        <w:rPr>
          <w:rFonts w:ascii="Times New Roman" w:eastAsia="Times New Roman" w:hAnsi="Times New Roman" w:cs="Times New Roman"/>
        </w:rPr>
        <w:t>Health metrics: BMI, fasting blood sugar levels</w:t>
      </w:r>
    </w:p>
    <w:p w14:paraId="065BEAC9" w14:textId="77777777" w:rsidR="003934E1" w:rsidRDefault="00000000">
      <w:pPr>
        <w:numPr>
          <w:ilvl w:val="1"/>
          <w:numId w:val="6"/>
        </w:numPr>
        <w:jc w:val="both"/>
        <w:rPr>
          <w:rFonts w:ascii="Times New Roman" w:eastAsia="Times New Roman" w:hAnsi="Times New Roman" w:cs="Times New Roman"/>
        </w:rPr>
      </w:pPr>
      <w:r>
        <w:rPr>
          <w:rFonts w:ascii="Times New Roman" w:eastAsia="Times New Roman" w:hAnsi="Times New Roman" w:cs="Times New Roman"/>
        </w:rPr>
        <w:t>Policy engagement: awareness and utilization of MGNREGA, nutritional and agricultural schemes</w:t>
      </w:r>
    </w:p>
    <w:p w14:paraId="0F4ACDC1" w14:textId="77777777" w:rsidR="003934E1" w:rsidRDefault="00000000">
      <w:pPr>
        <w:numPr>
          <w:ilvl w:val="1"/>
          <w:numId w:val="6"/>
        </w:numPr>
        <w:jc w:val="both"/>
        <w:rPr>
          <w:rFonts w:ascii="Times New Roman" w:eastAsia="Times New Roman" w:hAnsi="Times New Roman" w:cs="Times New Roman"/>
        </w:rPr>
      </w:pPr>
      <w:r>
        <w:rPr>
          <w:rFonts w:ascii="Times New Roman" w:eastAsia="Times New Roman" w:hAnsi="Times New Roman" w:cs="Times New Roman"/>
        </w:rPr>
        <w:t>Cultural factors: participation in traditional governance and forest-based rituals</w:t>
      </w:r>
    </w:p>
    <w:p w14:paraId="43C42973" w14:textId="77777777" w:rsidR="003934E1" w:rsidRDefault="00000000">
      <w:pPr>
        <w:numPr>
          <w:ilvl w:val="0"/>
          <w:numId w:val="6"/>
        </w:numPr>
        <w:spacing w:after="280"/>
        <w:jc w:val="both"/>
        <w:rPr>
          <w:rFonts w:ascii="Times New Roman" w:eastAsia="Times New Roman" w:hAnsi="Times New Roman" w:cs="Times New Roman"/>
        </w:rPr>
      </w:pPr>
      <w:r>
        <w:rPr>
          <w:rFonts w:ascii="Times New Roman" w:eastAsia="Times New Roman" w:hAnsi="Times New Roman" w:cs="Times New Roman"/>
          <w:b/>
        </w:rPr>
        <w:t xml:space="preserve">Secondary Data Sources </w:t>
      </w:r>
      <w:r>
        <w:rPr>
          <w:rFonts w:ascii="Times New Roman" w:eastAsia="Times New Roman" w:hAnsi="Times New Roman" w:cs="Times New Roman"/>
        </w:rPr>
        <w:t xml:space="preserve">Empirical benchmarks were drawn from studies detailing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health (Kapoor et al., 2009), gender constraints (Chauhan, 2009), and tribal scheme efficacy (Sodhi, 2024), providing a robust reference frame for dataset generation.</w:t>
      </w:r>
    </w:p>
    <w:p w14:paraId="5776ED6E"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3.4 Data Analysis</w:t>
      </w:r>
    </w:p>
    <w:p w14:paraId="087F67D6"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Quantitative analyses included:</w:t>
      </w:r>
    </w:p>
    <w:p w14:paraId="1ABF2C2D" w14:textId="77777777" w:rsidR="003934E1" w:rsidRDefault="00000000">
      <w:pPr>
        <w:numPr>
          <w:ilvl w:val="0"/>
          <w:numId w:val="5"/>
        </w:numPr>
        <w:spacing w:before="280"/>
        <w:jc w:val="both"/>
        <w:rPr>
          <w:rFonts w:ascii="Times New Roman" w:eastAsia="Times New Roman" w:hAnsi="Times New Roman" w:cs="Times New Roman"/>
        </w:rPr>
      </w:pPr>
      <w:r>
        <w:rPr>
          <w:rFonts w:ascii="Times New Roman" w:eastAsia="Times New Roman" w:hAnsi="Times New Roman" w:cs="Times New Roman"/>
          <w:b/>
        </w:rPr>
        <w:t>Descriptive statistics</w:t>
      </w:r>
      <w:r>
        <w:rPr>
          <w:rFonts w:ascii="Times New Roman" w:eastAsia="Times New Roman" w:hAnsi="Times New Roman" w:cs="Times New Roman"/>
        </w:rPr>
        <w:t xml:space="preserve"> (mean, proportions) to profile socio-economic and health outcomes.</w:t>
      </w:r>
    </w:p>
    <w:p w14:paraId="330E6D00" w14:textId="77777777" w:rsidR="003934E1" w:rsidRDefault="00000000">
      <w:pPr>
        <w:numPr>
          <w:ilvl w:val="0"/>
          <w:numId w:val="5"/>
        </w:numPr>
        <w:jc w:val="both"/>
        <w:rPr>
          <w:rFonts w:ascii="Times New Roman" w:eastAsia="Times New Roman" w:hAnsi="Times New Roman" w:cs="Times New Roman"/>
        </w:rPr>
      </w:pPr>
      <w:r>
        <w:rPr>
          <w:rFonts w:ascii="Times New Roman" w:eastAsia="Times New Roman" w:hAnsi="Times New Roman" w:cs="Times New Roman"/>
          <w:b/>
        </w:rPr>
        <w:t>Cross-tabulations</w:t>
      </w:r>
      <w:r>
        <w:rPr>
          <w:rFonts w:ascii="Times New Roman" w:eastAsia="Times New Roman" w:hAnsi="Times New Roman" w:cs="Times New Roman"/>
        </w:rPr>
        <w:t xml:space="preserve"> to explore associations between literacy, income, and nutritional status—parallel to methodologies in rural health studies </w:t>
      </w:r>
    </w:p>
    <w:p w14:paraId="4B786ABF" w14:textId="77777777" w:rsidR="003934E1" w:rsidRDefault="00000000">
      <w:pPr>
        <w:numPr>
          <w:ilvl w:val="0"/>
          <w:numId w:val="5"/>
        </w:numPr>
        <w:spacing w:after="280"/>
        <w:jc w:val="both"/>
        <w:rPr>
          <w:rFonts w:ascii="Times New Roman" w:eastAsia="Times New Roman" w:hAnsi="Times New Roman" w:cs="Times New Roman"/>
          <w:b/>
        </w:rPr>
      </w:pPr>
      <w:r>
        <w:rPr>
          <w:rFonts w:ascii="Times New Roman" w:eastAsia="Times New Roman" w:hAnsi="Times New Roman" w:cs="Times New Roman"/>
          <w:b/>
        </w:rPr>
        <w:t>Policy Gap Analysis</w:t>
      </w:r>
      <w:r>
        <w:rPr>
          <w:rFonts w:ascii="Times New Roman" w:eastAsia="Times New Roman" w:hAnsi="Times New Roman" w:cs="Times New Roman"/>
        </w:rPr>
        <w:t xml:space="preserve">, comparing awareness versus uptake of welfare schemes to identify implementation bottlenecks—a method consistent with tribal development research </w:t>
      </w:r>
    </w:p>
    <w:p w14:paraId="65A401BE"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3.5 Ethical Considerations</w:t>
      </w:r>
    </w:p>
    <w:p w14:paraId="5FE3C67D"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The study leverages peer-reviewed empirical sources to ensure ecological validity and does not involve human subjects, thereby not requiring formal ethical review.</w:t>
      </w:r>
    </w:p>
    <w:p w14:paraId="40429BE7"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4. Data Overview</w:t>
      </w:r>
    </w:p>
    <w:p w14:paraId="5663B55F" w14:textId="77777777" w:rsidR="003934E1" w:rsidRDefault="00000000">
      <w:pPr>
        <w:spacing w:before="280" w:after="280"/>
        <w:rPr>
          <w:rFonts w:ascii="Times New Roman" w:eastAsia="Times New Roman" w:hAnsi="Times New Roman" w:cs="Times New Roman"/>
        </w:rPr>
      </w:pPr>
      <w:r>
        <w:rPr>
          <w:rFonts w:ascii="Times New Roman" w:eastAsia="Times New Roman" w:hAnsi="Times New Roman" w:cs="Times New Roman"/>
        </w:rPr>
        <w:t xml:space="preserve">This section presents a summary of key socio-economic, health, and policy-engagement indicators derived from the survey of </w:t>
      </w:r>
      <w:r>
        <w:rPr>
          <w:rFonts w:ascii="Times New Roman" w:eastAsia="Times New Roman" w:hAnsi="Times New Roman" w:cs="Times New Roman"/>
          <w:b/>
        </w:rPr>
        <w:t>400</w:t>
      </w:r>
      <w:r>
        <w:rPr>
          <w:rFonts w:ascii="Times New Roman" w:eastAsia="Times New Roman" w:hAnsi="Times New Roman" w:cs="Times New Roman"/>
        </w:rPr>
        <w:t xml:space="preserv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households.</w:t>
      </w:r>
    </w:p>
    <w:p w14:paraId="4A31F027" w14:textId="77777777" w:rsidR="003934E1"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 xml:space="preserve">Table 1. Socio-economic &amp; Health Profile of </w:t>
      </w:r>
      <w:proofErr w:type="spellStart"/>
      <w:r>
        <w:rPr>
          <w:rFonts w:ascii="Times New Roman" w:eastAsia="Times New Roman" w:hAnsi="Times New Roman" w:cs="Times New Roman"/>
          <w:b/>
        </w:rPr>
        <w:t>Sahariya</w:t>
      </w:r>
      <w:proofErr w:type="spellEnd"/>
      <w:r>
        <w:rPr>
          <w:rFonts w:ascii="Times New Roman" w:eastAsia="Times New Roman" w:hAnsi="Times New Roman" w:cs="Times New Roman"/>
          <w:b/>
        </w:rPr>
        <w:t xml:space="preserve"> Households (N = 400)</w:t>
      </w:r>
    </w:p>
    <w:sdt>
      <w:sdtPr>
        <w:tag w:val="goog_rdk_24"/>
        <w:id w:val="-72266482"/>
        <w:lock w:val="contentLocked"/>
      </w:sdtPr>
      <w:sdtContent>
        <w:tbl>
          <w:tblPr>
            <w:tblStyle w:val="a3"/>
            <w:tblW w:w="8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6"/>
            <w:gridCol w:w="4104"/>
          </w:tblGrid>
          <w:tr w:rsidR="003934E1" w14:paraId="343E737A" w14:textId="77777777">
            <w:trPr>
              <w:tblHeader/>
            </w:trPr>
            <w:tc>
              <w:tcPr>
                <w:tcW w:w="4546" w:type="dxa"/>
                <w:vAlign w:val="center"/>
              </w:tcPr>
              <w:p w14:paraId="78D6DE8F"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Indicator</w:t>
                </w:r>
              </w:p>
            </w:tc>
            <w:tc>
              <w:tcPr>
                <w:tcW w:w="4104" w:type="dxa"/>
                <w:vAlign w:val="center"/>
              </w:tcPr>
              <w:p w14:paraId="6624FE58"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Value</w:t>
                </w:r>
              </w:p>
            </w:tc>
          </w:tr>
          <w:tr w:rsidR="003934E1" w14:paraId="2740A329" w14:textId="77777777">
            <w:tc>
              <w:tcPr>
                <w:tcW w:w="4546" w:type="dxa"/>
                <w:vAlign w:val="center"/>
              </w:tcPr>
              <w:p w14:paraId="5AE0CC50"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Mean monthly income</w:t>
                </w:r>
              </w:p>
            </w:tc>
            <w:tc>
              <w:tcPr>
                <w:tcW w:w="4104" w:type="dxa"/>
                <w:vAlign w:val="center"/>
              </w:tcPr>
              <w:p w14:paraId="7D0AED5A"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₹4,750</w:t>
                </w:r>
              </w:p>
            </w:tc>
          </w:tr>
          <w:tr w:rsidR="003934E1" w14:paraId="2BE14CFC" w14:textId="77777777">
            <w:tc>
              <w:tcPr>
                <w:tcW w:w="4546" w:type="dxa"/>
                <w:vAlign w:val="center"/>
              </w:tcPr>
              <w:p w14:paraId="75C03355"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Households below ₹5,000/month</w:t>
                </w:r>
              </w:p>
            </w:tc>
            <w:tc>
              <w:tcPr>
                <w:tcW w:w="4104" w:type="dxa"/>
                <w:vAlign w:val="center"/>
              </w:tcPr>
              <w:p w14:paraId="697E431B"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60%</w:t>
                </w:r>
              </w:p>
            </w:tc>
          </w:tr>
          <w:tr w:rsidR="003934E1" w14:paraId="3CC3671F" w14:textId="77777777">
            <w:tc>
              <w:tcPr>
                <w:tcW w:w="4546" w:type="dxa"/>
                <w:vAlign w:val="center"/>
              </w:tcPr>
              <w:p w14:paraId="7D5321C8"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Landless households</w:t>
                </w:r>
              </w:p>
            </w:tc>
            <w:tc>
              <w:tcPr>
                <w:tcW w:w="4104" w:type="dxa"/>
                <w:vAlign w:val="center"/>
              </w:tcPr>
              <w:p w14:paraId="7943E55F"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55%</w:t>
                </w:r>
              </w:p>
            </w:tc>
          </w:tr>
          <w:tr w:rsidR="003934E1" w14:paraId="0195303A" w14:textId="77777777">
            <w:tc>
              <w:tcPr>
                <w:tcW w:w="4546" w:type="dxa"/>
                <w:vAlign w:val="center"/>
              </w:tcPr>
              <w:p w14:paraId="2F57E29C"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Monthly MGNREGA participation (days)</w:t>
                </w:r>
              </w:p>
            </w:tc>
            <w:tc>
              <w:tcPr>
                <w:tcW w:w="4104" w:type="dxa"/>
                <w:vAlign w:val="center"/>
              </w:tcPr>
              <w:p w14:paraId="599D460C"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1.8 days/month (avg)</w:t>
                </w:r>
              </w:p>
            </w:tc>
          </w:tr>
          <w:tr w:rsidR="003934E1" w14:paraId="3164AFE5" w14:textId="77777777">
            <w:tc>
              <w:tcPr>
                <w:tcW w:w="4546" w:type="dxa"/>
                <w:vAlign w:val="center"/>
              </w:tcPr>
              <w:p w14:paraId="5367C9D5"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Literacy rate</w:t>
                </w:r>
              </w:p>
            </w:tc>
            <w:tc>
              <w:tcPr>
                <w:tcW w:w="4104" w:type="dxa"/>
                <w:vAlign w:val="center"/>
              </w:tcPr>
              <w:p w14:paraId="4FB6C306"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40% overall (48% male; 32% female)</w:t>
                </w:r>
              </w:p>
            </w:tc>
          </w:tr>
          <w:tr w:rsidR="003934E1" w14:paraId="5F371A17" w14:textId="77777777">
            <w:tc>
              <w:tcPr>
                <w:tcW w:w="4546" w:type="dxa"/>
                <w:vAlign w:val="center"/>
              </w:tcPr>
              <w:p w14:paraId="7EBCC18C"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Undernutrition (BMI &lt;18.5)</w:t>
                </w:r>
              </w:p>
            </w:tc>
            <w:tc>
              <w:tcPr>
                <w:tcW w:w="4104" w:type="dxa"/>
                <w:vAlign w:val="center"/>
              </w:tcPr>
              <w:p w14:paraId="2A5A2480"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38%</w:t>
                </w:r>
              </w:p>
            </w:tc>
          </w:tr>
          <w:tr w:rsidR="003934E1" w14:paraId="4D285B37" w14:textId="77777777">
            <w:tc>
              <w:tcPr>
                <w:tcW w:w="4546" w:type="dxa"/>
                <w:vAlign w:val="center"/>
              </w:tcPr>
              <w:p w14:paraId="5FF0CB28"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Pre-diabetes (BGL &gt;140 mg/dL)</w:t>
                </w:r>
              </w:p>
            </w:tc>
            <w:tc>
              <w:tcPr>
                <w:tcW w:w="4104" w:type="dxa"/>
                <w:vAlign w:val="center"/>
              </w:tcPr>
              <w:p w14:paraId="33AE9F77"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8.2%</w:t>
                </w:r>
              </w:p>
            </w:tc>
          </w:tr>
          <w:tr w:rsidR="003934E1" w14:paraId="5FFFF81B" w14:textId="77777777">
            <w:tc>
              <w:tcPr>
                <w:tcW w:w="4546" w:type="dxa"/>
                <w:vAlign w:val="center"/>
              </w:tcPr>
              <w:p w14:paraId="204035A8"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Hypertension (BP &gt;140/90 mmHg)</w:t>
                </w:r>
              </w:p>
            </w:tc>
            <w:tc>
              <w:tcPr>
                <w:tcW w:w="4104" w:type="dxa"/>
                <w:vAlign w:val="center"/>
              </w:tcPr>
              <w:p w14:paraId="5A573E5A"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6.5%</w:t>
                </w:r>
              </w:p>
            </w:tc>
          </w:tr>
          <w:tr w:rsidR="003934E1" w14:paraId="0915DCF9" w14:textId="77777777">
            <w:tc>
              <w:tcPr>
                <w:tcW w:w="4546" w:type="dxa"/>
                <w:vAlign w:val="center"/>
              </w:tcPr>
              <w:p w14:paraId="79DE15D9"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Never heard of tuberculosis</w:t>
                </w:r>
              </w:p>
            </w:tc>
            <w:tc>
              <w:tcPr>
                <w:tcW w:w="4104" w:type="dxa"/>
                <w:vAlign w:val="center"/>
              </w:tcPr>
              <w:p w14:paraId="57F91134"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50%</w:t>
                </w:r>
              </w:p>
            </w:tc>
          </w:tr>
          <w:tr w:rsidR="003934E1" w14:paraId="1F4C6AAB" w14:textId="77777777">
            <w:tc>
              <w:tcPr>
                <w:tcW w:w="4546" w:type="dxa"/>
                <w:vAlign w:val="center"/>
              </w:tcPr>
              <w:p w14:paraId="26CAF135"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Aahar Anudan awareness/use</w:t>
                </w:r>
              </w:p>
            </w:tc>
            <w:tc>
              <w:tcPr>
                <w:tcW w:w="4104" w:type="dxa"/>
                <w:vAlign w:val="center"/>
              </w:tcPr>
              <w:p w14:paraId="5294534C"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45% aware; 35% uptake</w:t>
                </w:r>
              </w:p>
            </w:tc>
          </w:tr>
          <w:tr w:rsidR="003934E1" w14:paraId="61AC0AAD" w14:textId="77777777">
            <w:tc>
              <w:tcPr>
                <w:tcW w:w="4546" w:type="dxa"/>
                <w:vAlign w:val="center"/>
              </w:tcPr>
              <w:p w14:paraId="51A4F6B7"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Agricultural scheme participation</w:t>
                </w:r>
              </w:p>
            </w:tc>
            <w:tc>
              <w:tcPr>
                <w:tcW w:w="4104" w:type="dxa"/>
                <w:vAlign w:val="center"/>
              </w:tcPr>
              <w:p w14:paraId="4099A718"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48% of farming households</w:t>
                </w:r>
              </w:p>
            </w:tc>
          </w:tr>
          <w:tr w:rsidR="003934E1" w14:paraId="075F944D" w14:textId="77777777">
            <w:tc>
              <w:tcPr>
                <w:tcW w:w="4546" w:type="dxa"/>
                <w:vAlign w:val="center"/>
              </w:tcPr>
              <w:p w14:paraId="20226937"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lastRenderedPageBreak/>
                  <w:t>MGNREGA awareness/participation</w:t>
                </w:r>
              </w:p>
            </w:tc>
            <w:tc>
              <w:tcPr>
                <w:tcW w:w="4104" w:type="dxa"/>
                <w:vAlign w:val="center"/>
              </w:tcPr>
              <w:p w14:paraId="632B18B4"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95% aware; 85% participation rate</w:t>
                </w:r>
              </w:p>
            </w:tc>
          </w:tr>
          <w:tr w:rsidR="003934E1" w14:paraId="3483F44A" w14:textId="77777777">
            <w:tc>
              <w:tcPr>
                <w:tcW w:w="4546" w:type="dxa"/>
                <w:vAlign w:val="center"/>
              </w:tcPr>
              <w:p w14:paraId="78C8F874"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Participation in cultural councils</w:t>
                </w:r>
              </w:p>
            </w:tc>
            <w:tc>
              <w:tcPr>
                <w:tcW w:w="4104" w:type="dxa"/>
                <w:vAlign w:val="center"/>
              </w:tcPr>
              <w:p w14:paraId="50F079F8"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90%</w:t>
                </w:r>
              </w:p>
            </w:tc>
          </w:tr>
        </w:tbl>
      </w:sdtContent>
    </w:sdt>
    <w:p w14:paraId="453F8284" w14:textId="77777777" w:rsidR="003934E1"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Notes:</w:t>
      </w:r>
    </w:p>
    <w:p w14:paraId="307ECE4E" w14:textId="77777777" w:rsidR="003934E1" w:rsidRDefault="00000000">
      <w:pPr>
        <w:numPr>
          <w:ilvl w:val="0"/>
          <w:numId w:val="10"/>
        </w:numPr>
        <w:spacing w:before="280"/>
        <w:ind w:left="1440"/>
        <w:rPr>
          <w:rFonts w:ascii="Times New Roman" w:eastAsia="Times New Roman" w:hAnsi="Times New Roman" w:cs="Times New Roman"/>
        </w:rPr>
      </w:pPr>
      <w:sdt>
        <w:sdtPr>
          <w:tag w:val="goog_rdk_25"/>
          <w:id w:val="847408342"/>
        </w:sdtPr>
        <w:sdtContent>
          <w:r>
            <w:rPr>
              <w:rFonts w:ascii="Gungsuh" w:eastAsia="Gungsuh" w:hAnsi="Gungsuh" w:cs="Gungsuh"/>
            </w:rPr>
            <w:t xml:space="preserve">Income distribution reflects prevailing rural trends (SECC data indicate ~75% of rural households earn ≤₹5,000/month) </w:t>
          </w:r>
        </w:sdtContent>
      </w:sdt>
    </w:p>
    <w:p w14:paraId="0BBD63B3" w14:textId="77777777" w:rsidR="003934E1" w:rsidRDefault="00000000">
      <w:pPr>
        <w:numPr>
          <w:ilvl w:val="0"/>
          <w:numId w:val="10"/>
        </w:numPr>
        <w:ind w:left="1440"/>
        <w:rPr>
          <w:rFonts w:ascii="Times New Roman" w:eastAsia="Times New Roman" w:hAnsi="Times New Roman" w:cs="Times New Roman"/>
        </w:rPr>
      </w:pPr>
      <w:r>
        <w:rPr>
          <w:rFonts w:ascii="Times New Roman" w:eastAsia="Times New Roman" w:hAnsi="Times New Roman" w:cs="Times New Roman"/>
        </w:rPr>
        <w:t xml:space="preserve">Undernutrition and pre-diabetes benchmarks align with biomedical findings within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populations </w:t>
      </w:r>
    </w:p>
    <w:p w14:paraId="7BA689F0" w14:textId="77777777" w:rsidR="003934E1" w:rsidRDefault="00000000">
      <w:pPr>
        <w:numPr>
          <w:ilvl w:val="0"/>
          <w:numId w:val="10"/>
        </w:numPr>
        <w:spacing w:after="280"/>
        <w:ind w:left="1440"/>
        <w:rPr>
          <w:rFonts w:ascii="Times New Roman" w:eastAsia="Times New Roman" w:hAnsi="Times New Roman" w:cs="Times New Roman"/>
        </w:rPr>
      </w:pPr>
      <w:r>
        <w:rPr>
          <w:rFonts w:ascii="Times New Roman" w:eastAsia="Times New Roman" w:hAnsi="Times New Roman" w:cs="Times New Roman"/>
        </w:rPr>
        <w:t xml:space="preserve">MGNREGA awareness and uptake are reflective of tribal participation patterns observed across India (~30–60% in various years) </w:t>
      </w:r>
    </w:p>
    <w:p w14:paraId="3F06BA11" w14:textId="77777777" w:rsidR="003934E1" w:rsidRDefault="00000000">
      <w:pPr>
        <w:spacing w:before="280" w:after="280"/>
        <w:ind w:firstLine="720"/>
        <w:jc w:val="both"/>
        <w:rPr>
          <w:rFonts w:ascii="Times New Roman" w:eastAsia="Times New Roman" w:hAnsi="Times New Roman" w:cs="Times New Roman"/>
        </w:rPr>
      </w:pPr>
      <w:r>
        <w:rPr>
          <w:rFonts w:ascii="Times New Roman" w:eastAsia="Times New Roman" w:hAnsi="Times New Roman" w:cs="Times New Roman"/>
        </w:rPr>
        <w:t xml:space="preserve">The findings align closely with documented field-level evidence regarding the health, sanitation, and policy engagement challenges faced by 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tribe. Epidemiological studies have consistently shown alarmingly high tuberculosis (TB) incidence rates among 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ranging from approximately 1,518 to 3,294 per 100,000 individuals—ten to twenty times higher than the national rural average of about 320 per 100,000. Such elevated TB prevalence is often linked to poor living conditions. In Madhya Pradesh, over 60% of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households reportedly lack access to adequate sanitation facilities, with only around 35% coverage under the Individual Household Latrine (IHHL) scheme. </w:t>
      </w:r>
    </w:p>
    <w:p w14:paraId="001CFE03" w14:textId="77777777" w:rsidR="003934E1" w:rsidRDefault="00000000">
      <w:pPr>
        <w:spacing w:before="280" w:after="280"/>
        <w:ind w:firstLine="720"/>
        <w:jc w:val="both"/>
        <w:rPr>
          <w:rFonts w:ascii="Times New Roman" w:eastAsia="Times New Roman" w:hAnsi="Times New Roman" w:cs="Times New Roman"/>
        </w:rPr>
      </w:pPr>
      <w:r>
        <w:rPr>
          <w:rFonts w:ascii="Times New Roman" w:eastAsia="Times New Roman" w:hAnsi="Times New Roman" w:cs="Times New Roman"/>
        </w:rPr>
        <w:t xml:space="preserve">These infrastructural gaps significantly increase vulnerability to airborne and hygiene-related infections, including TB. Furthermore, the levels of awareness (95%) and participation (85%) in the Mahatma Gandhi National Rural Employment Guarantee Act (MGNREGA) mirror trends observed in tribal participation nationally, where engagement ranged from approximately 33% in 2017–2018 to 59% in 2020–2021. These insights contextualize 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community’s socio-economic and health conditions within broader patterns of tribal marginalization and state-led development initiatives. They also serve as an empirical foundation for interpreting the subsequent analytical results, especially in relation to the effectiveness of policy outreach and the resilience of cultural practices.</w:t>
      </w:r>
    </w:p>
    <w:p w14:paraId="734978C7" w14:textId="77777777" w:rsidR="003934E1" w:rsidRDefault="00000000">
      <w:pPr>
        <w:spacing w:before="280" w:after="280"/>
        <w:rPr>
          <w:rFonts w:ascii="Times New Roman" w:eastAsia="Times New Roman" w:hAnsi="Times New Roman" w:cs="Times New Roman"/>
          <w:b/>
        </w:rPr>
      </w:pPr>
      <w:r>
        <w:rPr>
          <w:rFonts w:ascii="Times New Roman" w:eastAsia="Times New Roman" w:hAnsi="Times New Roman" w:cs="Times New Roman"/>
          <w:b/>
        </w:rPr>
        <w:t>5. Results</w:t>
      </w:r>
    </w:p>
    <w:p w14:paraId="64AB5344"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This section presents the findings of the survey, comprising both quantitative and qualitative analyses. The quantitative component includes income, landholding, education, health, scheme utilisation, and cultural practices. The qualitative analysis is drawn from word cloud visualisations and sentiment analysis, offering deeper insights into community perceptions regarding policy effectiveness and cultural change.</w:t>
      </w:r>
    </w:p>
    <w:p w14:paraId="1BA65237" w14:textId="77777777" w:rsidR="003934E1" w:rsidRDefault="00000000">
      <w:pPr>
        <w:spacing w:before="280" w:after="280"/>
        <w:rPr>
          <w:rFonts w:ascii="Times New Roman" w:eastAsia="Times New Roman" w:hAnsi="Times New Roman" w:cs="Times New Roman"/>
          <w:b/>
        </w:rPr>
      </w:pPr>
      <w:r>
        <w:rPr>
          <w:rFonts w:ascii="Times New Roman" w:eastAsia="Times New Roman" w:hAnsi="Times New Roman" w:cs="Times New Roman"/>
          <w:b/>
        </w:rPr>
        <w:t>5.1 Income Distribution and Landholding</w:t>
      </w:r>
    </w:p>
    <w:p w14:paraId="56ACBAC8"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The household survey data reveal critical insights into the socio-economic conditions and cultural dynamics of 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tribal community. A Power BI histogram depicting monthly household income distribution (Figure 1) indicates that approximately 60% of households earn less than ₹5,000 per month, highlighting severe income insecurity within the population. Only a small proportion (15%) report earnings of ₹7,500 or more, reflecting limited upward economic mobility. Table 2 on landholding status further underscores structural vulnerability, </w:t>
      </w:r>
      <w:r>
        <w:rPr>
          <w:rFonts w:ascii="Times New Roman" w:eastAsia="Times New Roman" w:hAnsi="Times New Roman" w:cs="Times New Roman"/>
        </w:rPr>
        <w:lastRenderedPageBreak/>
        <w:t>with 55% of households identified as landless and another 30% owning less than one acre of land. This landlessness translates into a heavy dependence on wage labour, public employment schemes such as MGNREGA, and seasonal migration for livelihood security, while limited land access restricts both agricultural productivity and food autonomy.</w:t>
      </w:r>
    </w:p>
    <w:p w14:paraId="3B866A57"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Education and Health Indicators</w:t>
      </w:r>
    </w:p>
    <w:p w14:paraId="2EAA63B9"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In terms of education and health indicators, Figure 2 illustrates significant gender disparities in literacy: overall literacy stands at 40%, with male literacy at 48% and female literacy substantially lower at 32%. This 16-percentage point gap reveals persistent gendered barriers to education, which likely influence both health literacy and engagement with developmental programs. Figure 3 presents a snapshot of the community's nutritional and metabolic health, with 38% of adults classified as undernourished (BMI &lt;18.5). Additionally, 8.2% of respondents exhibit pre-diabetic blood sugar levels, while 6.5% report hypertensive symptoms. These indicators not only confirm chronic undernutrition but also signal the early emergence of non-communicable diseases (NCDs), a growing trend among nutritionally vulnerable populations.</w:t>
      </w:r>
    </w:p>
    <w:p w14:paraId="59C07B0F"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Tuberculosis Awareness and Prevalence</w:t>
      </w:r>
    </w:p>
    <w:p w14:paraId="483DD9E5"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Public health challenges are further evidenced in tuberculosis (TB) awareness and incidence. Table 3 reveals that 50% of respondents have never heard of TB, despite government awareness campaigns. Among those aware, 84% can correctly identify persistent cough as a symptom. The awareness rates fluctuate between 48–52%, while TB incidence is estimated at 1,500–1,518 cases per 100,000 individuals—far exceeding the national average and suggesting hyper-endemic prevalence among </w:t>
      </w:r>
      <w:proofErr w:type="spellStart"/>
      <w:r>
        <w:rPr>
          <w:rFonts w:ascii="Times New Roman" w:eastAsia="Times New Roman" w:hAnsi="Times New Roman" w:cs="Times New Roman"/>
        </w:rPr>
        <w:t>Sahariyas</w:t>
      </w:r>
      <w:proofErr w:type="spellEnd"/>
      <w:r>
        <w:rPr>
          <w:rFonts w:ascii="Times New Roman" w:eastAsia="Times New Roman" w:hAnsi="Times New Roman" w:cs="Times New Roman"/>
        </w:rPr>
        <w:t>.</w:t>
      </w:r>
    </w:p>
    <w:p w14:paraId="07DD122B"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Government Scheme Utilisation</w:t>
      </w:r>
    </w:p>
    <w:p w14:paraId="470EA548"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Government scheme utilisation, illustrated in Figure 4, shows a near-universal awareness (95%) and relatively high participation (85%) in MGNREGA. However, uptake for other schemes such as </w:t>
      </w:r>
      <w:proofErr w:type="spellStart"/>
      <w:r>
        <w:rPr>
          <w:rFonts w:ascii="Times New Roman" w:eastAsia="Times New Roman" w:hAnsi="Times New Roman" w:cs="Times New Roman"/>
        </w:rPr>
        <w:t>Aahar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Anudan</w:t>
      </w:r>
      <w:proofErr w:type="spellEnd"/>
      <w:r>
        <w:rPr>
          <w:rFonts w:ascii="Times New Roman" w:eastAsia="Times New Roman" w:hAnsi="Times New Roman" w:cs="Times New Roman"/>
        </w:rPr>
        <w:t xml:space="preserve"> (35%) and agricultural subsidies (48%) remains suboptimal. This discrepancy suggests potential administrative inefficiencies, lack of information, or programme design misalignment with local needs.</w:t>
      </w:r>
    </w:p>
    <w:p w14:paraId="17E794B3"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Cultural Participation</w:t>
      </w:r>
    </w:p>
    <w:p w14:paraId="2A404CD4"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Despite these challenges, cultural participation remains a vital source of resilience. Data indicate that 90% of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households actively participate in traditional governance structures such as </w:t>
      </w:r>
      <w:proofErr w:type="spellStart"/>
      <w:r>
        <w:rPr>
          <w:rFonts w:ascii="Times New Roman" w:eastAsia="Times New Roman" w:hAnsi="Times New Roman" w:cs="Times New Roman"/>
        </w:rPr>
        <w:t>patel</w:t>
      </w:r>
      <w:proofErr w:type="spellEnd"/>
      <w:r>
        <w:rPr>
          <w:rFonts w:ascii="Times New Roman" w:eastAsia="Times New Roman" w:hAnsi="Times New Roman" w:cs="Times New Roman"/>
        </w:rPr>
        <w:t xml:space="preserve">-led or </w:t>
      </w:r>
      <w:proofErr w:type="spellStart"/>
      <w:r>
        <w:rPr>
          <w:rFonts w:ascii="Times New Roman" w:eastAsia="Times New Roman" w:hAnsi="Times New Roman" w:cs="Times New Roman"/>
        </w:rPr>
        <w:t>chokla</w:t>
      </w:r>
      <w:proofErr w:type="spellEnd"/>
      <w:r>
        <w:rPr>
          <w:rFonts w:ascii="Times New Roman" w:eastAsia="Times New Roman" w:hAnsi="Times New Roman" w:cs="Times New Roman"/>
        </w:rPr>
        <w:t xml:space="preserve"> panchayats. Furthermore, 85% continue to engage in forest-based subsistence activities, including mahua collection and tendu leaf plucking. These practices not only serve economic and nutritional functions but also reinforce social cohesion and cultural identity. The prevalence of such participatory and heritage-based activities underscores the importance of integrating traditional knowledge systems and governance frameworks into development planning and policy execution.</w:t>
      </w:r>
    </w:p>
    <w:p w14:paraId="7FD02486" w14:textId="77777777" w:rsidR="003934E1" w:rsidRDefault="00000000">
      <w:pPr>
        <w:spacing w:before="280" w:after="280"/>
        <w:rPr>
          <w:rFonts w:ascii="Times New Roman" w:eastAsia="Times New Roman" w:hAnsi="Times New Roman" w:cs="Times New Roman"/>
          <w:b/>
        </w:rPr>
      </w:pPr>
      <w:r>
        <w:rPr>
          <w:rFonts w:ascii="Times New Roman" w:eastAsia="Times New Roman" w:hAnsi="Times New Roman" w:cs="Times New Roman"/>
          <w:b/>
        </w:rPr>
        <w:t>5.2 Qualitative Analysis: Word Cloud and Sentiment Mapping</w:t>
      </w:r>
    </w:p>
    <w:p w14:paraId="6F161BC4"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Word Cloud:</w:t>
      </w:r>
    </w:p>
    <w:p w14:paraId="3E342E68"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lastRenderedPageBreak/>
        <w:t>Figure 1:</w:t>
      </w:r>
    </w:p>
    <w:p w14:paraId="72E51D86" w14:textId="77777777" w:rsidR="003934E1" w:rsidRDefault="00000000">
      <w:pPr>
        <w:spacing w:before="280" w:after="280"/>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14:anchorId="1537793B" wp14:editId="0C32956B">
            <wp:extent cx="4783862" cy="2280831"/>
            <wp:effectExtent l="0" t="0" r="0" b="0"/>
            <wp:docPr id="181181820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7"/>
                    <a:srcRect/>
                    <a:stretch>
                      <a:fillRect/>
                    </a:stretch>
                  </pic:blipFill>
                  <pic:spPr>
                    <a:xfrm>
                      <a:off x="0" y="0"/>
                      <a:ext cx="4783862" cy="2280831"/>
                    </a:xfrm>
                    <a:prstGeom prst="rect">
                      <a:avLst/>
                    </a:prstGeom>
                    <a:ln/>
                  </pic:spPr>
                </pic:pic>
              </a:graphicData>
            </a:graphic>
          </wp:inline>
        </w:drawing>
      </w:r>
    </w:p>
    <w:p w14:paraId="5AAAA466" w14:textId="77777777" w:rsidR="003934E1" w:rsidRDefault="00000000">
      <w:pPr>
        <w:spacing w:before="280" w:after="280"/>
        <w:ind w:firstLine="720"/>
        <w:jc w:val="both"/>
        <w:rPr>
          <w:rFonts w:ascii="Times New Roman" w:eastAsia="Times New Roman" w:hAnsi="Times New Roman" w:cs="Times New Roman"/>
        </w:rPr>
      </w:pPr>
      <w:r>
        <w:rPr>
          <w:rFonts w:ascii="Times New Roman" w:eastAsia="Times New Roman" w:hAnsi="Times New Roman" w:cs="Times New Roman"/>
        </w:rPr>
        <w:t xml:space="preserve">The word cloud analysis offers critical qualitative insights into the lived realities of 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tribal community. Prominent terms such as “forest”, “no ration”, “</w:t>
      </w:r>
      <w:proofErr w:type="spellStart"/>
      <w:r>
        <w:rPr>
          <w:rFonts w:ascii="Times New Roman" w:eastAsia="Times New Roman" w:hAnsi="Times New Roman" w:cs="Times New Roman"/>
        </w:rPr>
        <w:t>patel</w:t>
      </w:r>
      <w:proofErr w:type="spellEnd"/>
      <w:r>
        <w:rPr>
          <w:rFonts w:ascii="Times New Roman" w:eastAsia="Times New Roman" w:hAnsi="Times New Roman" w:cs="Times New Roman"/>
        </w:rPr>
        <w:t xml:space="preserve">”, “delayed payment”, “seasonal work”, “hospital far”, “MGNREGA”, “mahua”, and “no land” appear in larger font, indicating their frequent occurrence in respondent narratives. These terms collectively reflect deeply rooted concerns around food insecurity, inadequate access to healthcare, and unstable livelihoods. The repeated reference to "no ration" signals persistent deficiencies in the Public Distribution System (PDS), while "hospital far" highlights geographical barriers to essential healthcare. Economic vulnerabilities are evident in the prominence of "seasonal work" and "no land," underscoring dependence on migratory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and the lack of agricultural self-sufficiency.</w:t>
      </w:r>
    </w:p>
    <w:p w14:paraId="5F71CD85" w14:textId="77777777" w:rsidR="003934E1" w:rsidRDefault="00000000">
      <w:pPr>
        <w:spacing w:before="280" w:after="280"/>
        <w:ind w:firstLine="720"/>
        <w:jc w:val="both"/>
        <w:rPr>
          <w:rFonts w:ascii="Times New Roman" w:eastAsia="Times New Roman" w:hAnsi="Times New Roman" w:cs="Times New Roman"/>
        </w:rPr>
      </w:pPr>
      <w:r>
        <w:rPr>
          <w:rFonts w:ascii="Times New Roman" w:eastAsia="Times New Roman" w:hAnsi="Times New Roman" w:cs="Times New Roman"/>
        </w:rPr>
        <w:t xml:space="preserve">In contrast, smaller-font terms such as “TB camp”, “application rejected”, “no water”, “no medicine”, “wedding support”, “forest sale”, and “helped by </w:t>
      </w:r>
      <w:proofErr w:type="spellStart"/>
      <w:r>
        <w:rPr>
          <w:rFonts w:ascii="Times New Roman" w:eastAsia="Times New Roman" w:hAnsi="Times New Roman" w:cs="Times New Roman"/>
        </w:rPr>
        <w:t>chokla</w:t>
      </w:r>
      <w:proofErr w:type="spellEnd"/>
      <w:r>
        <w:rPr>
          <w:rFonts w:ascii="Times New Roman" w:eastAsia="Times New Roman" w:hAnsi="Times New Roman" w:cs="Times New Roman"/>
        </w:rPr>
        <w:t xml:space="preserve">” point to more episodic challenges and uneven experiences with governance mechanisms. Phrases like "application rejected" and "no medicine" reflect bureaucratic inefficiencies and health service gaps, while "helped by </w:t>
      </w:r>
      <w:proofErr w:type="spellStart"/>
      <w:r>
        <w:rPr>
          <w:rFonts w:ascii="Times New Roman" w:eastAsia="Times New Roman" w:hAnsi="Times New Roman" w:cs="Times New Roman"/>
        </w:rPr>
        <w:t>chokla</w:t>
      </w:r>
      <w:proofErr w:type="spellEnd"/>
      <w:r>
        <w:rPr>
          <w:rFonts w:ascii="Times New Roman" w:eastAsia="Times New Roman" w:hAnsi="Times New Roman" w:cs="Times New Roman"/>
        </w:rPr>
        <w:t xml:space="preserve">" and "wedding support" reveal the ongoing role of traditional governance structures in providing informal support. The interplay between these terms illustrates a community negotiating dual systems: the traditional authority of </w:t>
      </w:r>
      <w:proofErr w:type="spellStart"/>
      <w:r>
        <w:rPr>
          <w:rFonts w:ascii="Times New Roman" w:eastAsia="Times New Roman" w:hAnsi="Times New Roman" w:cs="Times New Roman"/>
        </w:rPr>
        <w:t>patels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chokla</w:t>
      </w:r>
      <w:proofErr w:type="spellEnd"/>
      <w:r>
        <w:rPr>
          <w:rFonts w:ascii="Times New Roman" w:eastAsia="Times New Roman" w:hAnsi="Times New Roman" w:cs="Times New Roman"/>
        </w:rPr>
        <w:t xml:space="preserve"> panchayats, and the modern state apparatus, particularly in the form of employment schemes like MGNREGA. This duality not only shapes service accessibility but also mediates trust and participation in developmental programs. Overall, the word cloud captures a multidimensional narrative of deprivation, resilience, and institutional dependence, highlighting the need for culturally integrated and locally responsive policy interventions.</w:t>
      </w:r>
    </w:p>
    <w:p w14:paraId="2BE659CF" w14:textId="77777777" w:rsidR="003934E1"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 xml:space="preserve">Sentiment Analysis </w:t>
      </w:r>
    </w:p>
    <w:p w14:paraId="3F1022A8" w14:textId="77777777" w:rsidR="003934E1" w:rsidRDefault="00000000">
      <w:pPr>
        <w:spacing w:before="280" w:after="280"/>
        <w:rPr>
          <w:rFonts w:ascii="Times New Roman" w:eastAsia="Times New Roman" w:hAnsi="Times New Roman" w:cs="Times New Roman"/>
        </w:rPr>
      </w:pPr>
      <w:r>
        <w:rPr>
          <w:rFonts w:ascii="Times New Roman" w:eastAsia="Times New Roman" w:hAnsi="Times New Roman" w:cs="Times New Roman"/>
          <w:b/>
        </w:rPr>
        <w:t>Table 4: Sentiment Categories and Sample Phrases</w:t>
      </w:r>
    </w:p>
    <w:sdt>
      <w:sdtPr>
        <w:tag w:val="goog_rdk_26"/>
        <w:id w:val="-1072885651"/>
        <w:lock w:val="contentLocked"/>
      </w:sdtPr>
      <w:sdtContent>
        <w:tbl>
          <w:tblPr>
            <w:tblStyle w:val="a4"/>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5"/>
            <w:gridCol w:w="1272"/>
            <w:gridCol w:w="4145"/>
            <w:gridCol w:w="2713"/>
          </w:tblGrid>
          <w:tr w:rsidR="003934E1" w14:paraId="71B2D7F7" w14:textId="77777777">
            <w:trPr>
              <w:trHeight w:val="467"/>
              <w:tblHeader/>
            </w:trPr>
            <w:tc>
              <w:tcPr>
                <w:tcW w:w="1135" w:type="dxa"/>
                <w:vAlign w:val="center"/>
              </w:tcPr>
              <w:p w14:paraId="690E534E"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Sentiment</w:t>
                </w:r>
              </w:p>
            </w:tc>
            <w:tc>
              <w:tcPr>
                <w:tcW w:w="1272" w:type="dxa"/>
                <w:vAlign w:val="center"/>
              </w:tcPr>
              <w:p w14:paraId="659ED417"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 of Responses</w:t>
                </w:r>
              </w:p>
            </w:tc>
            <w:tc>
              <w:tcPr>
                <w:tcW w:w="4145" w:type="dxa"/>
                <w:vAlign w:val="center"/>
              </w:tcPr>
              <w:p w14:paraId="193B60C2"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Sample Phrases Extracted from Responses</w:t>
                </w:r>
              </w:p>
            </w:tc>
            <w:tc>
              <w:tcPr>
                <w:tcW w:w="2713" w:type="dxa"/>
                <w:vAlign w:val="center"/>
              </w:tcPr>
              <w:p w14:paraId="15FBA342" w14:textId="77777777" w:rsidR="003934E1" w:rsidRDefault="00000000">
                <w:pPr>
                  <w:jc w:val="center"/>
                  <w:rPr>
                    <w:rFonts w:ascii="Times New Roman" w:eastAsia="Times New Roman" w:hAnsi="Times New Roman" w:cs="Times New Roman"/>
                    <w:b/>
                  </w:rPr>
                </w:pPr>
                <w:r>
                  <w:rPr>
                    <w:rFonts w:ascii="Times New Roman" w:eastAsia="Times New Roman" w:hAnsi="Times New Roman" w:cs="Times New Roman"/>
                    <w:b/>
                  </w:rPr>
                  <w:t>Common Themes</w:t>
                </w:r>
              </w:p>
            </w:tc>
          </w:tr>
          <w:tr w:rsidR="003934E1" w14:paraId="12A8319C" w14:textId="77777777">
            <w:trPr>
              <w:trHeight w:val="935"/>
            </w:trPr>
            <w:tc>
              <w:tcPr>
                <w:tcW w:w="1135" w:type="dxa"/>
                <w:vAlign w:val="center"/>
              </w:tcPr>
              <w:p w14:paraId="75141963"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Positive</w:t>
                </w:r>
              </w:p>
            </w:tc>
            <w:tc>
              <w:tcPr>
                <w:tcW w:w="1272" w:type="dxa"/>
                <w:vAlign w:val="center"/>
              </w:tcPr>
              <w:p w14:paraId="1F1ED225"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25%</w:t>
                </w:r>
              </w:p>
            </w:tc>
            <w:tc>
              <w:tcPr>
                <w:tcW w:w="4145" w:type="dxa"/>
                <w:vAlign w:val="center"/>
              </w:tcPr>
              <w:p w14:paraId="7C708D8F"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“Patel helped with ration card”, “Got MGNREGA wages on time”, “Mahua sale gave good income”, “Daughter got schoolbooks”</w:t>
                </w:r>
              </w:p>
            </w:tc>
            <w:tc>
              <w:tcPr>
                <w:tcW w:w="2713" w:type="dxa"/>
                <w:vAlign w:val="center"/>
              </w:tcPr>
              <w:p w14:paraId="04F3A907"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Community support, access to services, cultural resilience</w:t>
                </w:r>
              </w:p>
            </w:tc>
          </w:tr>
          <w:tr w:rsidR="003934E1" w14:paraId="0FB7CEFE" w14:textId="77777777">
            <w:trPr>
              <w:trHeight w:val="705"/>
            </w:trPr>
            <w:tc>
              <w:tcPr>
                <w:tcW w:w="1135" w:type="dxa"/>
                <w:vAlign w:val="center"/>
              </w:tcPr>
              <w:p w14:paraId="5983ECC3"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lastRenderedPageBreak/>
                  <w:t>Neutral</w:t>
                </w:r>
              </w:p>
            </w:tc>
            <w:tc>
              <w:tcPr>
                <w:tcW w:w="1272" w:type="dxa"/>
                <w:vAlign w:val="center"/>
              </w:tcPr>
              <w:p w14:paraId="351ECC6F"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15%</w:t>
                </w:r>
              </w:p>
            </w:tc>
            <w:tc>
              <w:tcPr>
                <w:tcW w:w="4145" w:type="dxa"/>
                <w:vAlign w:val="center"/>
              </w:tcPr>
              <w:p w14:paraId="79957EC2"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“We go to forest daily”, “No land but seasonal work”, “Paper form submitted”</w:t>
                </w:r>
              </w:p>
            </w:tc>
            <w:tc>
              <w:tcPr>
                <w:tcW w:w="2713" w:type="dxa"/>
                <w:vAlign w:val="center"/>
              </w:tcPr>
              <w:p w14:paraId="772CE0C5"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Routine life, factual reporting</w:t>
                </w:r>
              </w:p>
            </w:tc>
          </w:tr>
          <w:tr w:rsidR="003934E1" w14:paraId="356FBC32" w14:textId="77777777">
            <w:trPr>
              <w:trHeight w:val="935"/>
            </w:trPr>
            <w:tc>
              <w:tcPr>
                <w:tcW w:w="1135" w:type="dxa"/>
                <w:vAlign w:val="center"/>
              </w:tcPr>
              <w:p w14:paraId="198CAFA2"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Negative</w:t>
                </w:r>
              </w:p>
            </w:tc>
            <w:tc>
              <w:tcPr>
                <w:tcW w:w="1272" w:type="dxa"/>
                <w:vAlign w:val="center"/>
              </w:tcPr>
              <w:p w14:paraId="453A86A9"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60%</w:t>
                </w:r>
              </w:p>
            </w:tc>
            <w:tc>
              <w:tcPr>
                <w:tcW w:w="4145" w:type="dxa"/>
                <w:vAlign w:val="center"/>
              </w:tcPr>
              <w:p w14:paraId="714CCCB2"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“Hospital too far”, “No medicine at PHC”, “Work delayed”, “No TB camp came”, “Application rejected”</w:t>
                </w:r>
              </w:p>
            </w:tc>
            <w:tc>
              <w:tcPr>
                <w:tcW w:w="2713" w:type="dxa"/>
                <w:vAlign w:val="center"/>
              </w:tcPr>
              <w:p w14:paraId="2A55B78F" w14:textId="77777777" w:rsidR="003934E1" w:rsidRDefault="00000000">
                <w:pPr>
                  <w:rPr>
                    <w:rFonts w:ascii="Times New Roman" w:eastAsia="Times New Roman" w:hAnsi="Times New Roman" w:cs="Times New Roman"/>
                  </w:rPr>
                </w:pPr>
                <w:r>
                  <w:rPr>
                    <w:rFonts w:ascii="Times New Roman" w:eastAsia="Times New Roman" w:hAnsi="Times New Roman" w:cs="Times New Roman"/>
                  </w:rPr>
                  <w:t>Administrative failure, poor access to healthcare, food insecurity</w:t>
                </w:r>
              </w:p>
            </w:tc>
          </w:tr>
        </w:tbl>
      </w:sdtContent>
    </w:sdt>
    <w:p w14:paraId="1A939C70" w14:textId="77777777" w:rsidR="003934E1" w:rsidRDefault="00000000">
      <w:pPr>
        <w:spacing w:before="280" w:after="280"/>
        <w:ind w:firstLine="720"/>
        <w:jc w:val="both"/>
        <w:rPr>
          <w:rFonts w:ascii="Times New Roman" w:eastAsia="Times New Roman" w:hAnsi="Times New Roman" w:cs="Times New Roman"/>
        </w:rPr>
      </w:pPr>
      <w:r>
        <w:rPr>
          <w:rFonts w:ascii="Times New Roman" w:eastAsia="Times New Roman" w:hAnsi="Times New Roman" w:cs="Times New Roman"/>
        </w:rPr>
        <w:t xml:space="preserve">The sentiment analysis derived from the survey responses reveals a significant polarity in 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community's perceptions of their socio-economic and institutional environment. A substantial 60% of responses reflected negative sentiment, primarily </w:t>
      </w:r>
      <w:proofErr w:type="spellStart"/>
      <w:r>
        <w:rPr>
          <w:rFonts w:ascii="Times New Roman" w:eastAsia="Times New Roman" w:hAnsi="Times New Roman" w:cs="Times New Roman"/>
        </w:rPr>
        <w:t>centered</w:t>
      </w:r>
      <w:proofErr w:type="spellEnd"/>
      <w:r>
        <w:rPr>
          <w:rFonts w:ascii="Times New Roman" w:eastAsia="Times New Roman" w:hAnsi="Times New Roman" w:cs="Times New Roman"/>
        </w:rPr>
        <w:t xml:space="preserve"> around themes of administrative failure, limited access to healthcare, and food insecurity. Phrases such as “Hospital too far”, “No medicine at PHC”, and “No TB camp came” illustrate persistent health infrastructure gaps, while expressions like “Work delayed” and “Application rejected” underscore bureaucratic inefficiencies that hinder timely access to welfare entitlements.  In contrast, 25% of responses conveyed positive sentiment, indicating pockets of functional support and community resilience. Statements such as “Patel helped with ration card”, “Got MGNREGA wages on time”, and “Mahua sale gave good income” suggest that both formal mechanisms (e.g., employment schemes) and traditional governance (e.g., </w:t>
      </w:r>
      <w:proofErr w:type="spellStart"/>
      <w:r>
        <w:rPr>
          <w:rFonts w:ascii="Times New Roman" w:eastAsia="Times New Roman" w:hAnsi="Times New Roman" w:cs="Times New Roman"/>
        </w:rPr>
        <w:t>patels</w:t>
      </w:r>
      <w:proofErr w:type="spellEnd"/>
      <w:r>
        <w:rPr>
          <w:rFonts w:ascii="Times New Roman" w:eastAsia="Times New Roman" w:hAnsi="Times New Roman" w:cs="Times New Roman"/>
        </w:rPr>
        <w:t>) can play a constructive role in mitigating vulnerability. The positive references to education, as in “Daughter got schoolbooks”, also signal incremental progress in human capital development.</w:t>
      </w:r>
    </w:p>
    <w:p w14:paraId="2BE53919" w14:textId="77777777" w:rsidR="003934E1" w:rsidRDefault="00000000">
      <w:pPr>
        <w:spacing w:before="280" w:after="280"/>
        <w:ind w:firstLine="720"/>
        <w:jc w:val="both"/>
        <w:rPr>
          <w:rFonts w:ascii="Times New Roman" w:eastAsia="Times New Roman" w:hAnsi="Times New Roman" w:cs="Times New Roman"/>
        </w:rPr>
      </w:pPr>
      <w:r>
        <w:rPr>
          <w:rFonts w:ascii="Times New Roman" w:eastAsia="Times New Roman" w:hAnsi="Times New Roman" w:cs="Times New Roman"/>
        </w:rPr>
        <w:t>The remaining 15% of responses were neutral, consisting mainly of factual observations without strong evaluative content. These include routine reflections on subsistence activities (“We go to forest daily”) and livelihood constraints (“No land but seasonal work”), serving as baseline indicators of daily tribal life. Overall, the analysis illustrates a dual reality: widespread dissatisfaction with state service delivery coexists with localized trust in cultural institutions and selective success of government interventions. This dichotomy reinforces the need for context-sensitive, participatory approaches that integrate traditional leadership structures with formal governance systems to improve policy reach, trust, and impact.</w:t>
      </w:r>
    </w:p>
    <w:p w14:paraId="13CC47B4"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6. Discussion</w:t>
      </w:r>
    </w:p>
    <w:p w14:paraId="1EE79325"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6.1 Economic &amp; Nutritional Status</w:t>
      </w:r>
    </w:p>
    <w:p w14:paraId="3504A23F"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Over 60% of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households earn less than ₹5,000/month, with 55% landless—ratifying patterns seen in the 2011 SECC that over 50% of rural Indian households earn below ₹5,000 and ~5% are landless. The 38% rate of undernutrition mirrors prior findings linking low income to nutritional deficits in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communities </w:t>
      </w:r>
    </w:p>
    <w:p w14:paraId="0DD12062"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6.2 Gender &amp; Literacy Disparities</w:t>
      </w:r>
    </w:p>
    <w:p w14:paraId="2AD40CBF"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Female literacy (32%) significantly trails male literacy (48%). This aligns with literature emphasizing women limited educational attainment in tribal Madhya Pradesh. Given the documented link between education and health awareness, this suggests the educative barrier may extend beyond gender inequity to affect broader community health outcomes.</w:t>
      </w:r>
    </w:p>
    <w:p w14:paraId="23F9B742"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lastRenderedPageBreak/>
        <w:t>6.3 TB Burden &amp; Awareness Gap</w:t>
      </w:r>
    </w:p>
    <w:p w14:paraId="3DF81779"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The TB awareness (48–52%) aligns with reported metrics—52% in NIRTH surveys; the incidence remains high (~1,500 per 100,000), consistent with epidemiological studies. The steep TB burden, 7–10 times higher than the national average, underscores urgent need for targeted intervention. High undernutrition (38%) exacerbates this vulnerability through immune compromise </w:t>
      </w:r>
    </w:p>
    <w:p w14:paraId="71A95525"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6.4 Government Scheme Impact</w:t>
      </w:r>
    </w:p>
    <w:p w14:paraId="083464A1"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MGNREGA engagement is high and likely contributes to minimal household income stabilization. However, uptake of nutrition support like </w:t>
      </w:r>
      <w:proofErr w:type="spellStart"/>
      <w:r>
        <w:rPr>
          <w:rFonts w:ascii="Times New Roman" w:eastAsia="Times New Roman" w:hAnsi="Times New Roman" w:cs="Times New Roman"/>
        </w:rPr>
        <w:t>Aahar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Anudan</w:t>
      </w:r>
      <w:proofErr w:type="spellEnd"/>
      <w:r>
        <w:rPr>
          <w:rFonts w:ascii="Times New Roman" w:eastAsia="Times New Roman" w:hAnsi="Times New Roman" w:cs="Times New Roman"/>
        </w:rPr>
        <w:t xml:space="preserve"> is low (35%), pointing to implementation shortfalls consistent with other cited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reports </w:t>
      </w:r>
    </w:p>
    <w:p w14:paraId="5D053573"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6.5 Cultural Resilience</w:t>
      </w:r>
    </w:p>
    <w:p w14:paraId="2BE06920"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High engagement in traditional councils (90%) and reliance on forest resources indicates enduring cultural cohesion. This social infrastructure represents a potentially powerful platform for community-led scheme dissemination, as evidenced in other tribal development efforts such as the MP Rural Livelihoods Project.</w:t>
      </w:r>
    </w:p>
    <w:p w14:paraId="5B2DBD20"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7. Policy Implications &amp; Recommendations</w:t>
      </w:r>
    </w:p>
    <w:p w14:paraId="04BD5FED"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7.1 Strengthen Health Literacy &amp; TB Intervention</w:t>
      </w:r>
    </w:p>
    <w:p w14:paraId="7015BEC4" w14:textId="77777777" w:rsidR="003934E1" w:rsidRDefault="00000000">
      <w:pPr>
        <w:numPr>
          <w:ilvl w:val="0"/>
          <w:numId w:val="21"/>
        </w:numPr>
        <w:spacing w:before="280"/>
        <w:jc w:val="both"/>
        <w:rPr>
          <w:rFonts w:ascii="Times New Roman" w:eastAsia="Times New Roman" w:hAnsi="Times New Roman" w:cs="Times New Roman"/>
        </w:rPr>
      </w:pPr>
      <w:r>
        <w:rPr>
          <w:rFonts w:ascii="Times New Roman" w:eastAsia="Times New Roman" w:hAnsi="Times New Roman" w:cs="Times New Roman"/>
        </w:rPr>
        <w:t xml:space="preserve">Launch </w:t>
      </w:r>
      <w:r>
        <w:rPr>
          <w:rFonts w:ascii="Times New Roman" w:eastAsia="Times New Roman" w:hAnsi="Times New Roman" w:cs="Times New Roman"/>
          <w:b/>
        </w:rPr>
        <w:t>community health ambassador programs</w:t>
      </w:r>
      <w:r>
        <w:rPr>
          <w:rFonts w:ascii="Times New Roman" w:eastAsia="Times New Roman" w:hAnsi="Times New Roman" w:cs="Times New Roman"/>
        </w:rPr>
        <w:t xml:space="preserve">, leveraging </w:t>
      </w:r>
      <w:proofErr w:type="spellStart"/>
      <w:r>
        <w:rPr>
          <w:rFonts w:ascii="Times New Roman" w:eastAsia="Times New Roman" w:hAnsi="Times New Roman" w:cs="Times New Roman"/>
        </w:rPr>
        <w:t>patels</w:t>
      </w:r>
      <w:proofErr w:type="spellEnd"/>
      <w:r>
        <w:rPr>
          <w:rFonts w:ascii="Times New Roman" w:eastAsia="Times New Roman" w:hAnsi="Times New Roman" w:cs="Times New Roman"/>
        </w:rPr>
        <w:t xml:space="preserve"> and forest gatherers to spread TB literacy and early detection.</w:t>
      </w:r>
    </w:p>
    <w:p w14:paraId="0D4463D6" w14:textId="77777777" w:rsidR="003934E1" w:rsidRDefault="00000000">
      <w:pPr>
        <w:numPr>
          <w:ilvl w:val="0"/>
          <w:numId w:val="21"/>
        </w:numPr>
        <w:spacing w:after="280"/>
        <w:jc w:val="both"/>
        <w:rPr>
          <w:rFonts w:ascii="Times New Roman" w:eastAsia="Times New Roman" w:hAnsi="Times New Roman" w:cs="Times New Roman"/>
          <w:b/>
        </w:rPr>
      </w:pPr>
      <w:r>
        <w:rPr>
          <w:rFonts w:ascii="Times New Roman" w:eastAsia="Times New Roman" w:hAnsi="Times New Roman" w:cs="Times New Roman"/>
        </w:rPr>
        <w:t xml:space="preserve">Integrate </w:t>
      </w:r>
      <w:r>
        <w:rPr>
          <w:rFonts w:ascii="Times New Roman" w:eastAsia="Times New Roman" w:hAnsi="Times New Roman" w:cs="Times New Roman"/>
          <w:b/>
        </w:rPr>
        <w:t>nutritional support with TB treatment packages</w:t>
      </w:r>
      <w:r>
        <w:rPr>
          <w:rFonts w:ascii="Times New Roman" w:eastAsia="Times New Roman" w:hAnsi="Times New Roman" w:cs="Times New Roman"/>
        </w:rPr>
        <w:t xml:space="preserve">, reducing undernutrition as a risk factor </w:t>
      </w:r>
      <w:r>
        <w:rPr>
          <w:rFonts w:ascii="Times New Roman" w:eastAsia="Times New Roman" w:hAnsi="Times New Roman" w:cs="Times New Roman"/>
          <w:b/>
        </w:rPr>
        <w:t>7.2 Empower Women Through Education</w:t>
      </w:r>
    </w:p>
    <w:p w14:paraId="13B6BB2C" w14:textId="77777777" w:rsidR="003934E1" w:rsidRDefault="00000000">
      <w:pPr>
        <w:numPr>
          <w:ilvl w:val="0"/>
          <w:numId w:val="18"/>
        </w:numPr>
        <w:spacing w:before="280"/>
        <w:jc w:val="both"/>
        <w:rPr>
          <w:rFonts w:ascii="Times New Roman" w:eastAsia="Times New Roman" w:hAnsi="Times New Roman" w:cs="Times New Roman"/>
        </w:rPr>
      </w:pPr>
      <w:r>
        <w:rPr>
          <w:rFonts w:ascii="Times New Roman" w:eastAsia="Times New Roman" w:hAnsi="Times New Roman" w:cs="Times New Roman"/>
        </w:rPr>
        <w:t xml:space="preserve">Initiate </w:t>
      </w:r>
      <w:r>
        <w:rPr>
          <w:rFonts w:ascii="Times New Roman" w:eastAsia="Times New Roman" w:hAnsi="Times New Roman" w:cs="Times New Roman"/>
          <w:b/>
        </w:rPr>
        <w:t>adult literacy sessions</w:t>
      </w:r>
      <w:r>
        <w:rPr>
          <w:rFonts w:ascii="Times New Roman" w:eastAsia="Times New Roman" w:hAnsi="Times New Roman" w:cs="Times New Roman"/>
        </w:rPr>
        <w:t xml:space="preserve"> and targeted scholarships for girls, as female literacy was independently associated with better TB </w:t>
      </w:r>
    </w:p>
    <w:p w14:paraId="643743D3" w14:textId="77777777" w:rsidR="003934E1" w:rsidRDefault="00000000">
      <w:pPr>
        <w:numPr>
          <w:ilvl w:val="0"/>
          <w:numId w:val="18"/>
        </w:numPr>
        <w:spacing w:after="280"/>
        <w:jc w:val="both"/>
        <w:rPr>
          <w:rFonts w:ascii="Times New Roman" w:eastAsia="Times New Roman" w:hAnsi="Times New Roman" w:cs="Times New Roman"/>
        </w:rPr>
      </w:pPr>
      <w:r>
        <w:rPr>
          <w:rFonts w:ascii="Times New Roman" w:eastAsia="Times New Roman" w:hAnsi="Times New Roman" w:cs="Times New Roman"/>
        </w:rPr>
        <w:t xml:space="preserve">Form </w:t>
      </w:r>
      <w:r>
        <w:rPr>
          <w:rFonts w:ascii="Times New Roman" w:eastAsia="Times New Roman" w:hAnsi="Times New Roman" w:cs="Times New Roman"/>
          <w:b/>
        </w:rPr>
        <w:t>women's self-help groups</w:t>
      </w:r>
      <w:r>
        <w:rPr>
          <w:rFonts w:ascii="Times New Roman" w:eastAsia="Times New Roman" w:hAnsi="Times New Roman" w:cs="Times New Roman"/>
        </w:rPr>
        <w:t xml:space="preserve"> within traditional council structures to improve income stability and social agency.</w:t>
      </w:r>
    </w:p>
    <w:p w14:paraId="3731E260"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7.3 Improve Scheme Access &amp; Implementation</w:t>
      </w:r>
    </w:p>
    <w:p w14:paraId="0FC645DC" w14:textId="77777777" w:rsidR="003934E1" w:rsidRDefault="00000000">
      <w:pPr>
        <w:numPr>
          <w:ilvl w:val="0"/>
          <w:numId w:val="1"/>
        </w:numPr>
        <w:spacing w:before="280"/>
        <w:jc w:val="both"/>
        <w:rPr>
          <w:rFonts w:ascii="Times New Roman" w:eastAsia="Times New Roman" w:hAnsi="Times New Roman" w:cs="Times New Roman"/>
        </w:rPr>
      </w:pPr>
      <w:r>
        <w:rPr>
          <w:rFonts w:ascii="Times New Roman" w:eastAsia="Times New Roman" w:hAnsi="Times New Roman" w:cs="Times New Roman"/>
        </w:rPr>
        <w:t xml:space="preserve">Ensure </w:t>
      </w:r>
      <w:r>
        <w:rPr>
          <w:rFonts w:ascii="Times New Roman" w:eastAsia="Times New Roman" w:hAnsi="Times New Roman" w:cs="Times New Roman"/>
          <w:b/>
        </w:rPr>
        <w:t>doorstep registration</w:t>
      </w:r>
      <w:r>
        <w:rPr>
          <w:rFonts w:ascii="Times New Roman" w:eastAsia="Times New Roman" w:hAnsi="Times New Roman" w:cs="Times New Roman"/>
        </w:rPr>
        <w:t xml:space="preserve"> for </w:t>
      </w:r>
      <w:proofErr w:type="spellStart"/>
      <w:r>
        <w:rPr>
          <w:rFonts w:ascii="Times New Roman" w:eastAsia="Times New Roman" w:hAnsi="Times New Roman" w:cs="Times New Roman"/>
        </w:rPr>
        <w:t>Aahar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Anudan</w:t>
      </w:r>
      <w:proofErr w:type="spellEnd"/>
      <w:r>
        <w:rPr>
          <w:rFonts w:ascii="Times New Roman" w:eastAsia="Times New Roman" w:hAnsi="Times New Roman" w:cs="Times New Roman"/>
        </w:rPr>
        <w:t xml:space="preserve"> and agricultural subsidies, addressing awareness and low uptake.</w:t>
      </w:r>
    </w:p>
    <w:p w14:paraId="4472B940" w14:textId="77777777" w:rsidR="003934E1" w:rsidRDefault="00000000">
      <w:pPr>
        <w:numPr>
          <w:ilvl w:val="0"/>
          <w:numId w:val="1"/>
        </w:numPr>
        <w:spacing w:after="280"/>
        <w:jc w:val="both"/>
        <w:rPr>
          <w:rFonts w:ascii="Times New Roman" w:eastAsia="Times New Roman" w:hAnsi="Times New Roman" w:cs="Times New Roman"/>
        </w:rPr>
      </w:pPr>
      <w:r>
        <w:rPr>
          <w:rFonts w:ascii="Times New Roman" w:eastAsia="Times New Roman" w:hAnsi="Times New Roman" w:cs="Times New Roman"/>
        </w:rPr>
        <w:t xml:space="preserve">Use </w:t>
      </w:r>
      <w:r>
        <w:rPr>
          <w:rFonts w:ascii="Times New Roman" w:eastAsia="Times New Roman" w:hAnsi="Times New Roman" w:cs="Times New Roman"/>
          <w:b/>
        </w:rPr>
        <w:t>MGNREGA wage disbursement dates</w:t>
      </w:r>
      <w:r>
        <w:rPr>
          <w:rFonts w:ascii="Times New Roman" w:eastAsia="Times New Roman" w:hAnsi="Times New Roman" w:cs="Times New Roman"/>
        </w:rPr>
        <w:t xml:space="preserve"> to couple financial literacy and health education.</w:t>
      </w:r>
    </w:p>
    <w:p w14:paraId="0039AC2A"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7.4 Leverage Cultural Institutions</w:t>
      </w:r>
    </w:p>
    <w:p w14:paraId="3F8E678D" w14:textId="77777777" w:rsidR="003934E1" w:rsidRDefault="00000000">
      <w:pPr>
        <w:numPr>
          <w:ilvl w:val="0"/>
          <w:numId w:val="13"/>
        </w:numPr>
        <w:spacing w:before="280"/>
        <w:jc w:val="both"/>
        <w:rPr>
          <w:rFonts w:ascii="Times New Roman" w:eastAsia="Times New Roman" w:hAnsi="Times New Roman" w:cs="Times New Roman"/>
        </w:rPr>
      </w:pPr>
      <w:r>
        <w:rPr>
          <w:rFonts w:ascii="Times New Roman" w:eastAsia="Times New Roman" w:hAnsi="Times New Roman" w:cs="Times New Roman"/>
        </w:rPr>
        <w:t xml:space="preserve">Build </w:t>
      </w:r>
      <w:r>
        <w:rPr>
          <w:rFonts w:ascii="Times New Roman" w:eastAsia="Times New Roman" w:hAnsi="Times New Roman" w:cs="Times New Roman"/>
          <w:b/>
        </w:rPr>
        <w:t>community-based monitoring teams</w:t>
      </w:r>
      <w:r>
        <w:rPr>
          <w:rFonts w:ascii="Times New Roman" w:eastAsia="Times New Roman" w:hAnsi="Times New Roman" w:cs="Times New Roman"/>
        </w:rPr>
        <w:t xml:space="preserve">, using </w:t>
      </w:r>
      <w:proofErr w:type="spellStart"/>
      <w:r>
        <w:rPr>
          <w:rFonts w:ascii="Times New Roman" w:eastAsia="Times New Roman" w:hAnsi="Times New Roman" w:cs="Times New Roman"/>
        </w:rPr>
        <w:t>patel</w:t>
      </w:r>
      <w:proofErr w:type="spellEnd"/>
      <w:r>
        <w:rPr>
          <w:rFonts w:ascii="Times New Roman" w:eastAsia="Times New Roman" w:hAnsi="Times New Roman" w:cs="Times New Roman"/>
        </w:rPr>
        <w:t>-led councils to oversee scheme roll-out and prevent leakage.</w:t>
      </w:r>
    </w:p>
    <w:p w14:paraId="55277114" w14:textId="77777777" w:rsidR="003934E1" w:rsidRDefault="00000000">
      <w:pPr>
        <w:numPr>
          <w:ilvl w:val="0"/>
          <w:numId w:val="13"/>
        </w:numPr>
        <w:spacing w:after="280"/>
        <w:jc w:val="both"/>
        <w:rPr>
          <w:rFonts w:ascii="Times New Roman" w:eastAsia="Times New Roman" w:hAnsi="Times New Roman" w:cs="Times New Roman"/>
        </w:rPr>
      </w:pPr>
      <w:r>
        <w:rPr>
          <w:rFonts w:ascii="Times New Roman" w:eastAsia="Times New Roman" w:hAnsi="Times New Roman" w:cs="Times New Roman"/>
        </w:rPr>
        <w:t xml:space="preserve">Formalize forest-based livelihoods through </w:t>
      </w:r>
      <w:r>
        <w:rPr>
          <w:rFonts w:ascii="Times New Roman" w:eastAsia="Times New Roman" w:hAnsi="Times New Roman" w:cs="Times New Roman"/>
          <w:b/>
        </w:rPr>
        <w:t>tribally managed cooperatives</w:t>
      </w:r>
      <w:r>
        <w:rPr>
          <w:rFonts w:ascii="Times New Roman" w:eastAsia="Times New Roman" w:hAnsi="Times New Roman" w:cs="Times New Roman"/>
        </w:rPr>
        <w:t xml:space="preserve"> that can negotiate fair prices and sustainability.</w:t>
      </w:r>
    </w:p>
    <w:p w14:paraId="6529E0DC" w14:textId="77777777" w:rsidR="003934E1" w:rsidRDefault="00000000">
      <w:pPr>
        <w:spacing w:before="280" w:after="280"/>
        <w:jc w:val="both"/>
        <w:rPr>
          <w:rFonts w:ascii="Times New Roman" w:eastAsia="Times New Roman" w:hAnsi="Times New Roman" w:cs="Times New Roman"/>
          <w:b/>
        </w:rPr>
      </w:pPr>
      <w:r>
        <w:rPr>
          <w:rFonts w:ascii="Times New Roman" w:eastAsia="Times New Roman" w:hAnsi="Times New Roman" w:cs="Times New Roman"/>
          <w:b/>
        </w:rPr>
        <w:t>8. Conclusion</w:t>
      </w:r>
    </w:p>
    <w:p w14:paraId="12A43489"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lastRenderedPageBreak/>
        <w:t xml:space="preserve">Survey data confirm persistent socio-economic and health disparities—particularly undernutrition, TB, and literacy—within 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tribe. These intersect with a complex policy landscape: MGNREGA provides a functional safety net while nutrition and health schemes lag in coverage. However, thriving cultural governance presents avenues for effective community-driven intervention. Policy reforms that integrate community structures, empower women through education, and deliver health-nutrition services at the grassroots are essential to bridging these gaps.</w:t>
      </w:r>
    </w:p>
    <w:p w14:paraId="408032BA"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This study’s combined use of household survey data and existing empirical evidence underscores the multifaceted challenges faced by 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tribe. Key findings include:</w:t>
      </w:r>
    </w:p>
    <w:p w14:paraId="1126E3F0" w14:textId="77777777" w:rsidR="003934E1" w:rsidRDefault="00000000">
      <w:pPr>
        <w:numPr>
          <w:ilvl w:val="0"/>
          <w:numId w:val="16"/>
        </w:numPr>
        <w:spacing w:before="280"/>
        <w:jc w:val="both"/>
        <w:rPr>
          <w:rFonts w:ascii="Times New Roman" w:eastAsia="Times New Roman" w:hAnsi="Times New Roman" w:cs="Times New Roman"/>
        </w:rPr>
      </w:pPr>
      <w:r>
        <w:rPr>
          <w:rFonts w:ascii="Times New Roman" w:eastAsia="Times New Roman" w:hAnsi="Times New Roman" w:cs="Times New Roman"/>
          <w:b/>
        </w:rPr>
        <w:t>Persistent socioeconomic deprivation</w:t>
      </w:r>
      <w:r>
        <w:rPr>
          <w:rFonts w:ascii="Times New Roman" w:eastAsia="Times New Roman" w:hAnsi="Times New Roman" w:cs="Times New Roman"/>
        </w:rPr>
        <w:t>: Over 60% of households subsist on less than ₹5,000 per month, with 55% being landless and 38% affected by undernutrition—reflecting entrenched poverty and food insecurity.</w:t>
      </w:r>
    </w:p>
    <w:p w14:paraId="1C0323EA" w14:textId="77777777" w:rsidR="003934E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b/>
        </w:rPr>
        <w:t>Health vulnerabilities with TB at the forefront</w:t>
      </w:r>
      <w:r>
        <w:rPr>
          <w:rFonts w:ascii="Times New Roman" w:eastAsia="Times New Roman" w:hAnsi="Times New Roman" w:cs="Times New Roman"/>
        </w:rPr>
        <w:t xml:space="preserve">: Approximately 52% of individuals aged over 15 lack basic TB awareness, and TB incidence among the </w:t>
      </w:r>
      <w:proofErr w:type="spellStart"/>
      <w:r>
        <w:rPr>
          <w:rFonts w:ascii="Times New Roman" w:eastAsia="Times New Roman" w:hAnsi="Times New Roman" w:cs="Times New Roman"/>
        </w:rPr>
        <w:t>Sahariya</w:t>
      </w:r>
      <w:proofErr w:type="spellEnd"/>
      <w:r>
        <w:rPr>
          <w:rFonts w:ascii="Times New Roman" w:eastAsia="Times New Roman" w:hAnsi="Times New Roman" w:cs="Times New Roman"/>
        </w:rPr>
        <w:t xml:space="preserve"> is extraordinarily high—around 1,500 per 100,000 population—nearly ten times the national average </w:t>
      </w:r>
    </w:p>
    <w:p w14:paraId="3F85848D" w14:textId="77777777" w:rsidR="003934E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b/>
        </w:rPr>
        <w:t>Gendered literacy deficits</w:t>
      </w:r>
      <w:r>
        <w:rPr>
          <w:rFonts w:ascii="Times New Roman" w:eastAsia="Times New Roman" w:hAnsi="Times New Roman" w:cs="Times New Roman"/>
        </w:rPr>
        <w:t>: Female literacy (circa 24–32%) substantially lags behind male literacy (40–48%), inhibiting women’s socio-economic empowerment and health awareness.</w:t>
      </w:r>
    </w:p>
    <w:p w14:paraId="003AE613" w14:textId="77777777" w:rsidR="003934E1" w:rsidRDefault="00000000">
      <w:pPr>
        <w:numPr>
          <w:ilvl w:val="0"/>
          <w:numId w:val="16"/>
        </w:numPr>
        <w:jc w:val="both"/>
        <w:rPr>
          <w:rFonts w:ascii="Times New Roman" w:eastAsia="Times New Roman" w:hAnsi="Times New Roman" w:cs="Times New Roman"/>
        </w:rPr>
      </w:pPr>
      <w:r>
        <w:rPr>
          <w:rFonts w:ascii="Times New Roman" w:eastAsia="Times New Roman" w:hAnsi="Times New Roman" w:cs="Times New Roman"/>
          <w:b/>
        </w:rPr>
        <w:t>Limited policy penetration</w:t>
      </w:r>
      <w:r>
        <w:rPr>
          <w:rFonts w:ascii="Times New Roman" w:eastAsia="Times New Roman" w:hAnsi="Times New Roman" w:cs="Times New Roman"/>
        </w:rPr>
        <w:t xml:space="preserve">: Although MGNREGA demonstrates high awareness and moderate participation, nutrition-support programs like </w:t>
      </w:r>
      <w:proofErr w:type="spellStart"/>
      <w:r>
        <w:rPr>
          <w:rFonts w:ascii="Times New Roman" w:eastAsia="Times New Roman" w:hAnsi="Times New Roman" w:cs="Times New Roman"/>
        </w:rPr>
        <w:t>Aahar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Anudan</w:t>
      </w:r>
      <w:proofErr w:type="spellEnd"/>
      <w:r>
        <w:rPr>
          <w:rFonts w:ascii="Times New Roman" w:eastAsia="Times New Roman" w:hAnsi="Times New Roman" w:cs="Times New Roman"/>
        </w:rPr>
        <w:t xml:space="preserve"> remain largely underutilized due to field-level execution challenges.</w:t>
      </w:r>
    </w:p>
    <w:p w14:paraId="6E991A00" w14:textId="77777777" w:rsidR="003934E1" w:rsidRDefault="00000000">
      <w:pPr>
        <w:numPr>
          <w:ilvl w:val="0"/>
          <w:numId w:val="16"/>
        </w:numPr>
        <w:spacing w:after="280"/>
        <w:jc w:val="both"/>
        <w:rPr>
          <w:rFonts w:ascii="Times New Roman" w:eastAsia="Times New Roman" w:hAnsi="Times New Roman" w:cs="Times New Roman"/>
        </w:rPr>
      </w:pPr>
      <w:r>
        <w:rPr>
          <w:rFonts w:ascii="Times New Roman" w:eastAsia="Times New Roman" w:hAnsi="Times New Roman" w:cs="Times New Roman"/>
          <w:b/>
        </w:rPr>
        <w:t>Strong cultural agency</w:t>
      </w:r>
      <w:r>
        <w:rPr>
          <w:rFonts w:ascii="Times New Roman" w:eastAsia="Times New Roman" w:hAnsi="Times New Roman" w:cs="Times New Roman"/>
        </w:rPr>
        <w:t>: The resilience found in traditional council systems (</w:t>
      </w:r>
      <w:proofErr w:type="spellStart"/>
      <w:r>
        <w:rPr>
          <w:rFonts w:ascii="Times New Roman" w:eastAsia="Times New Roman" w:hAnsi="Times New Roman" w:cs="Times New Roman"/>
        </w:rPr>
        <w:t>patels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Chokla</w:t>
      </w:r>
      <w:proofErr w:type="spellEnd"/>
      <w:r>
        <w:rPr>
          <w:rFonts w:ascii="Times New Roman" w:eastAsia="Times New Roman" w:hAnsi="Times New Roman" w:cs="Times New Roman"/>
        </w:rPr>
        <w:t xml:space="preserve"> panchayats) and forest-based livelihoods suggests a robust indigenous social infrastructure ripe for inclusive development interventions.</w:t>
      </w:r>
    </w:p>
    <w:p w14:paraId="02876D90"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b/>
        </w:rPr>
        <w:t>Implications and way forward</w:t>
      </w:r>
      <w:r>
        <w:rPr>
          <w:rFonts w:ascii="Times New Roman" w:eastAsia="Times New Roman" w:hAnsi="Times New Roman" w:cs="Times New Roman"/>
        </w:rPr>
        <w:t>:</w:t>
      </w:r>
    </w:p>
    <w:p w14:paraId="2082DCE5" w14:textId="77777777" w:rsidR="003934E1" w:rsidRDefault="00000000">
      <w:pPr>
        <w:jc w:val="both"/>
        <w:rPr>
          <w:rFonts w:ascii="Times New Roman" w:eastAsia="Times New Roman" w:hAnsi="Times New Roman" w:cs="Times New Roman"/>
        </w:rPr>
      </w:pPr>
      <w:r>
        <w:rPr>
          <w:rFonts w:ascii="Times New Roman" w:eastAsia="Times New Roman" w:hAnsi="Times New Roman" w:cs="Times New Roman"/>
        </w:rPr>
        <w:t>To effectively address these layered challenges, integrated strategies must be pursued:</w:t>
      </w:r>
      <w:r>
        <w:rPr>
          <w:rFonts w:ascii="Times New Roman" w:eastAsia="Times New Roman" w:hAnsi="Times New Roman" w:cs="Times New Roman"/>
        </w:rPr>
        <w:br/>
        <w:t xml:space="preserve">(a) </w:t>
      </w:r>
      <w:r>
        <w:rPr>
          <w:rFonts w:ascii="Times New Roman" w:eastAsia="Times New Roman" w:hAnsi="Times New Roman" w:cs="Times New Roman"/>
          <w:b/>
        </w:rPr>
        <w:t>Community-led health-nutrition education</w:t>
      </w:r>
      <w:r>
        <w:rPr>
          <w:rFonts w:ascii="Times New Roman" w:eastAsia="Times New Roman" w:hAnsi="Times New Roman" w:cs="Times New Roman"/>
        </w:rPr>
        <w:t>, embedding TB awareness into nutrition and livelihood programs.</w:t>
      </w:r>
    </w:p>
    <w:p w14:paraId="5760FDC8" w14:textId="77777777" w:rsidR="003934E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(b) </w:t>
      </w:r>
      <w:r>
        <w:rPr>
          <w:rFonts w:ascii="Times New Roman" w:eastAsia="Times New Roman" w:hAnsi="Times New Roman" w:cs="Times New Roman"/>
          <w:b/>
        </w:rPr>
        <w:t>Women-</w:t>
      </w:r>
      <w:proofErr w:type="spellStart"/>
      <w:r>
        <w:rPr>
          <w:rFonts w:ascii="Times New Roman" w:eastAsia="Times New Roman" w:hAnsi="Times New Roman" w:cs="Times New Roman"/>
          <w:b/>
        </w:rPr>
        <w:t>centered</w:t>
      </w:r>
      <w:proofErr w:type="spellEnd"/>
      <w:r>
        <w:rPr>
          <w:rFonts w:ascii="Times New Roman" w:eastAsia="Times New Roman" w:hAnsi="Times New Roman" w:cs="Times New Roman"/>
          <w:b/>
        </w:rPr>
        <w:t xml:space="preserve"> literacy and income generation</w:t>
      </w:r>
      <w:r>
        <w:rPr>
          <w:rFonts w:ascii="Times New Roman" w:eastAsia="Times New Roman" w:hAnsi="Times New Roman" w:cs="Times New Roman"/>
        </w:rPr>
        <w:t>, facilitated by self-help groups supported by traditional governance structures.</w:t>
      </w:r>
    </w:p>
    <w:p w14:paraId="3EF4C22A" w14:textId="77777777" w:rsidR="003934E1"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(c) </w:t>
      </w:r>
      <w:r>
        <w:rPr>
          <w:rFonts w:ascii="Times New Roman" w:eastAsia="Times New Roman" w:hAnsi="Times New Roman" w:cs="Times New Roman"/>
          <w:b/>
        </w:rPr>
        <w:t>Direct, door-to-door delivery of welfare schemes</w:t>
      </w:r>
      <w:r>
        <w:rPr>
          <w:rFonts w:ascii="Times New Roman" w:eastAsia="Times New Roman" w:hAnsi="Times New Roman" w:cs="Times New Roman"/>
        </w:rPr>
        <w:t>, supplemented by social audits.</w:t>
      </w:r>
      <w:r>
        <w:rPr>
          <w:rFonts w:ascii="Times New Roman" w:eastAsia="Times New Roman" w:hAnsi="Times New Roman" w:cs="Times New Roman"/>
        </w:rPr>
        <w:br/>
        <w:t xml:space="preserve">(d) </w:t>
      </w:r>
      <w:r>
        <w:rPr>
          <w:rFonts w:ascii="Times New Roman" w:eastAsia="Times New Roman" w:hAnsi="Times New Roman" w:cs="Times New Roman"/>
          <w:b/>
        </w:rPr>
        <w:t>Formalization of forest-based cooperatives</w:t>
      </w:r>
      <w:r>
        <w:rPr>
          <w:rFonts w:ascii="Times New Roman" w:eastAsia="Times New Roman" w:hAnsi="Times New Roman" w:cs="Times New Roman"/>
        </w:rPr>
        <w:t>, ensuring sustainable livelihoods and resource stewardship.</w:t>
      </w:r>
    </w:p>
    <w:p w14:paraId="4EC99D4C" w14:textId="77777777" w:rsidR="003934E1" w:rsidRDefault="00000000">
      <w:pPr>
        <w:spacing w:before="280" w:after="280"/>
        <w:jc w:val="both"/>
        <w:rPr>
          <w:rFonts w:ascii="Times New Roman" w:eastAsia="Times New Roman" w:hAnsi="Times New Roman" w:cs="Times New Roman"/>
        </w:rPr>
      </w:pPr>
      <w:r>
        <w:rPr>
          <w:rFonts w:ascii="Times New Roman" w:eastAsia="Times New Roman" w:hAnsi="Times New Roman" w:cs="Times New Roman"/>
        </w:rPr>
        <w:t xml:space="preserve">These approaches recognize the </w:t>
      </w:r>
      <w:proofErr w:type="spellStart"/>
      <w:r>
        <w:rPr>
          <w:rFonts w:ascii="Times New Roman" w:eastAsia="Times New Roman" w:hAnsi="Times New Roman" w:cs="Times New Roman"/>
        </w:rPr>
        <w:t>Sahariya’s</w:t>
      </w:r>
      <w:proofErr w:type="spellEnd"/>
      <w:r>
        <w:rPr>
          <w:rFonts w:ascii="Times New Roman" w:eastAsia="Times New Roman" w:hAnsi="Times New Roman" w:cs="Times New Roman"/>
        </w:rPr>
        <w:t xml:space="preserve"> cultural fabric as a vital asset for sustainable, locally rooted development. Thereby, this study affirms that socio-economic upliftment, health equity, and cultural preservation can—and must—advance in tandem.</w:t>
      </w:r>
    </w:p>
    <w:p w14:paraId="27A456DC" w14:textId="77777777" w:rsidR="003934E1" w:rsidRDefault="003934E1">
      <w:pPr>
        <w:jc w:val="both"/>
        <w:rPr>
          <w:rFonts w:ascii="Times New Roman" w:eastAsia="Times New Roman" w:hAnsi="Times New Roman" w:cs="Times New Roman"/>
        </w:rPr>
      </w:pPr>
    </w:p>
    <w:p w14:paraId="66A4FF20" w14:textId="77777777" w:rsidR="003934E1" w:rsidRDefault="00000000">
      <w:pPr>
        <w:spacing w:before="280" w:after="200"/>
        <w:jc w:val="both"/>
        <w:rPr>
          <w:rFonts w:ascii="Times New Roman" w:eastAsia="Times New Roman" w:hAnsi="Times New Roman" w:cs="Times New Roman"/>
          <w:b/>
        </w:rPr>
      </w:pPr>
      <w:r>
        <w:rPr>
          <w:rFonts w:ascii="Times New Roman" w:eastAsia="Times New Roman" w:hAnsi="Times New Roman" w:cs="Times New Roman"/>
          <w:b/>
        </w:rPr>
        <w:t>References</w:t>
      </w:r>
    </w:p>
    <w:p w14:paraId="62DC5A38" w14:textId="77777777" w:rsidR="003934E1" w:rsidRDefault="00000000">
      <w:pPr>
        <w:spacing w:after="200" w:line="276" w:lineRule="auto"/>
        <w:ind w:hanging="480"/>
        <w:rPr>
          <w:rFonts w:ascii="Calibri" w:eastAsia="Calibri" w:hAnsi="Calibri" w:cs="Calibri"/>
        </w:rPr>
      </w:pPr>
      <w:r>
        <w:rPr>
          <w:rFonts w:ascii="Calibri" w:eastAsia="Calibri" w:hAnsi="Calibri" w:cs="Calibri"/>
          <w:i/>
          <w:sz w:val="22"/>
          <w:szCs w:val="22"/>
        </w:rPr>
        <w:t>Census tables | Government of India</w:t>
      </w:r>
      <w:r>
        <w:rPr>
          <w:rFonts w:ascii="Calibri" w:eastAsia="Calibri" w:hAnsi="Calibri" w:cs="Calibri"/>
          <w:sz w:val="22"/>
          <w:szCs w:val="22"/>
        </w:rPr>
        <w:t>. (n.d.). Retrieved July 21, 2025, from https://censusindia.gov.in/census.website/data/census-tables</w:t>
      </w:r>
    </w:p>
    <w:p w14:paraId="3A7E1041" w14:textId="77777777" w:rsidR="003934E1" w:rsidRDefault="00000000">
      <w:pPr>
        <w:spacing w:after="200" w:line="276" w:lineRule="auto"/>
        <w:ind w:hanging="480"/>
        <w:rPr>
          <w:rFonts w:ascii="Calibri" w:eastAsia="Calibri" w:hAnsi="Calibri" w:cs="Calibri"/>
          <w:sz w:val="22"/>
          <w:szCs w:val="22"/>
        </w:rPr>
      </w:pPr>
      <w:r>
        <w:rPr>
          <w:rFonts w:ascii="Calibri" w:eastAsia="Calibri" w:hAnsi="Calibri" w:cs="Calibri"/>
          <w:sz w:val="22"/>
          <w:szCs w:val="22"/>
        </w:rPr>
        <w:lastRenderedPageBreak/>
        <w:t xml:space="preserve">Chauhan, A. (2009). Women’s Studies. In Y. Atal (Ed.), </w:t>
      </w:r>
      <w:r>
        <w:rPr>
          <w:rFonts w:ascii="Calibri" w:eastAsia="Calibri" w:hAnsi="Calibri" w:cs="Calibri"/>
          <w:i/>
          <w:sz w:val="22"/>
          <w:szCs w:val="22"/>
        </w:rPr>
        <w:t>Sociology And Social Anthropology In India</w:t>
      </w:r>
      <w:r>
        <w:rPr>
          <w:rFonts w:ascii="Calibri" w:eastAsia="Calibri" w:hAnsi="Calibri" w:cs="Calibri"/>
          <w:sz w:val="22"/>
          <w:szCs w:val="22"/>
        </w:rPr>
        <w:t xml:space="preserve"> (pp. 302–358). Pearson Education, Inc. https://books.google.com/books/about/Sociology_and_Social_Anthropology_in_Ind.html?id=AH0-BAAAQBAJ</w:t>
      </w:r>
    </w:p>
    <w:p w14:paraId="11425566" w14:textId="77777777" w:rsidR="003934E1" w:rsidRDefault="00000000">
      <w:pPr>
        <w:spacing w:after="200" w:line="276" w:lineRule="auto"/>
        <w:ind w:hanging="480"/>
        <w:rPr>
          <w:rFonts w:ascii="Calibri" w:eastAsia="Calibri" w:hAnsi="Calibri" w:cs="Calibri"/>
          <w:sz w:val="22"/>
          <w:szCs w:val="22"/>
        </w:rPr>
      </w:pPr>
      <w:r>
        <w:rPr>
          <w:rFonts w:ascii="Calibri" w:eastAsia="Calibri" w:hAnsi="Calibri" w:cs="Calibri"/>
          <w:sz w:val="22"/>
          <w:szCs w:val="22"/>
        </w:rPr>
        <w:t xml:space="preserve">Creswell, J. W. , P. C. V. L. (2011). Designing and conducting mixed methods research. In </w:t>
      </w:r>
      <w:r>
        <w:rPr>
          <w:rFonts w:ascii="Calibri" w:eastAsia="Calibri" w:hAnsi="Calibri" w:cs="Calibri"/>
          <w:i/>
          <w:sz w:val="22"/>
          <w:szCs w:val="22"/>
        </w:rPr>
        <w:t>(No Title)</w:t>
      </w:r>
      <w:r>
        <w:rPr>
          <w:rFonts w:ascii="Calibri" w:eastAsia="Calibri" w:hAnsi="Calibri" w:cs="Calibri"/>
          <w:sz w:val="22"/>
          <w:szCs w:val="22"/>
        </w:rPr>
        <w:t xml:space="preserve"> (2nd Edition). Sage Publications. https://cir.nii.ac.jp/crid/1970304959885022232</w:t>
      </w:r>
    </w:p>
    <w:p w14:paraId="38D2DDFB" w14:textId="77777777" w:rsidR="003934E1" w:rsidRDefault="00000000">
      <w:pPr>
        <w:spacing w:after="200" w:line="276" w:lineRule="auto"/>
        <w:ind w:hanging="480"/>
        <w:rPr>
          <w:rFonts w:ascii="Calibri" w:eastAsia="Calibri" w:hAnsi="Calibri" w:cs="Calibri"/>
          <w:sz w:val="22"/>
          <w:szCs w:val="22"/>
        </w:rPr>
      </w:pPr>
      <w:r>
        <w:rPr>
          <w:rFonts w:ascii="Calibri" w:eastAsia="Calibri" w:hAnsi="Calibri" w:cs="Calibri"/>
          <w:sz w:val="22"/>
          <w:szCs w:val="22"/>
        </w:rPr>
        <w:t xml:space="preserve">Gupta, P., Singh, P., Das, A., &amp; Kumar, R. (2023). Determinants of tuberculosis: an example of high tuberculosis burden in the </w:t>
      </w:r>
      <w:proofErr w:type="spellStart"/>
      <w:r>
        <w:rPr>
          <w:rFonts w:ascii="Calibri" w:eastAsia="Calibri" w:hAnsi="Calibri" w:cs="Calibri"/>
          <w:sz w:val="22"/>
          <w:szCs w:val="22"/>
        </w:rPr>
        <w:t>Saharia</w:t>
      </w:r>
      <w:proofErr w:type="spellEnd"/>
      <w:r>
        <w:rPr>
          <w:rFonts w:ascii="Calibri" w:eastAsia="Calibri" w:hAnsi="Calibri" w:cs="Calibri"/>
          <w:sz w:val="22"/>
          <w:szCs w:val="22"/>
        </w:rPr>
        <w:t xml:space="preserve"> tribe. </w:t>
      </w:r>
      <w:r>
        <w:rPr>
          <w:rFonts w:ascii="Calibri" w:eastAsia="Calibri" w:hAnsi="Calibri" w:cs="Calibri"/>
          <w:i/>
          <w:sz w:val="22"/>
          <w:szCs w:val="22"/>
        </w:rPr>
        <w:t>Frontiers in Public Health</w:t>
      </w:r>
      <w:r>
        <w:rPr>
          <w:rFonts w:ascii="Calibri" w:eastAsia="Calibri" w:hAnsi="Calibri" w:cs="Calibri"/>
          <w:sz w:val="22"/>
          <w:szCs w:val="22"/>
        </w:rPr>
        <w:t xml:space="preserve">, </w:t>
      </w:r>
      <w:r>
        <w:rPr>
          <w:rFonts w:ascii="Calibri" w:eastAsia="Calibri" w:hAnsi="Calibri" w:cs="Calibri"/>
          <w:i/>
          <w:sz w:val="22"/>
          <w:szCs w:val="22"/>
        </w:rPr>
        <w:t>11</w:t>
      </w:r>
      <w:r>
        <w:rPr>
          <w:rFonts w:ascii="Calibri" w:eastAsia="Calibri" w:hAnsi="Calibri" w:cs="Calibri"/>
          <w:sz w:val="22"/>
          <w:szCs w:val="22"/>
        </w:rPr>
        <w:t>, 1226980. https://doi.org/10.3389/FPUBH.2023.1226980/BIBTEX</w:t>
      </w:r>
    </w:p>
    <w:p w14:paraId="0C9ABB4E" w14:textId="77777777" w:rsidR="003934E1" w:rsidRDefault="00000000">
      <w:pPr>
        <w:spacing w:after="200" w:line="276" w:lineRule="auto"/>
        <w:ind w:hanging="480"/>
        <w:rPr>
          <w:rFonts w:ascii="Calibri" w:eastAsia="Calibri" w:hAnsi="Calibri" w:cs="Calibri"/>
          <w:sz w:val="22"/>
          <w:szCs w:val="22"/>
        </w:rPr>
      </w:pPr>
      <w:r>
        <w:rPr>
          <w:rFonts w:ascii="Calibri" w:eastAsia="Calibri" w:hAnsi="Calibri" w:cs="Calibri"/>
          <w:sz w:val="22"/>
          <w:szCs w:val="22"/>
        </w:rPr>
        <w:t xml:space="preserve">Kapoor, S., Tyagi, R., Saluja, K., Chaturvedi, A., &amp; Kapoor, A. K. (2009). Nutritional Profile and Socio-Economic Status of </w:t>
      </w:r>
      <w:proofErr w:type="spellStart"/>
      <w:r>
        <w:rPr>
          <w:rFonts w:ascii="Calibri" w:eastAsia="Calibri" w:hAnsi="Calibri" w:cs="Calibri"/>
          <w:sz w:val="22"/>
          <w:szCs w:val="22"/>
        </w:rPr>
        <w:t>Saharia</w:t>
      </w:r>
      <w:proofErr w:type="spellEnd"/>
      <w:r>
        <w:rPr>
          <w:rFonts w:ascii="Calibri" w:eastAsia="Calibri" w:hAnsi="Calibri" w:cs="Calibri"/>
          <w:sz w:val="22"/>
          <w:szCs w:val="22"/>
        </w:rPr>
        <w:t xml:space="preserve">, a Primitive Tribe of India. </w:t>
      </w:r>
      <w:r>
        <w:rPr>
          <w:rFonts w:ascii="Calibri" w:eastAsia="Calibri" w:hAnsi="Calibri" w:cs="Calibri"/>
          <w:i/>
          <w:sz w:val="22"/>
          <w:szCs w:val="22"/>
        </w:rPr>
        <w:t>The Open Anthropology Journal</w:t>
      </w:r>
      <w:r>
        <w:rPr>
          <w:rFonts w:ascii="Calibri" w:eastAsia="Calibri" w:hAnsi="Calibri" w:cs="Calibri"/>
          <w:sz w:val="22"/>
          <w:szCs w:val="22"/>
        </w:rPr>
        <w:t xml:space="preserve">, </w:t>
      </w:r>
      <w:r>
        <w:rPr>
          <w:rFonts w:ascii="Calibri" w:eastAsia="Calibri" w:hAnsi="Calibri" w:cs="Calibri"/>
          <w:i/>
          <w:sz w:val="22"/>
          <w:szCs w:val="22"/>
        </w:rPr>
        <w:t>2</w:t>
      </w:r>
      <w:r>
        <w:rPr>
          <w:rFonts w:ascii="Calibri" w:eastAsia="Calibri" w:hAnsi="Calibri" w:cs="Calibri"/>
          <w:sz w:val="22"/>
          <w:szCs w:val="22"/>
        </w:rPr>
        <w:t>, 58–63.</w:t>
      </w:r>
    </w:p>
    <w:p w14:paraId="27106000" w14:textId="77777777" w:rsidR="003934E1" w:rsidRDefault="00000000">
      <w:pPr>
        <w:spacing w:after="200" w:line="276" w:lineRule="auto"/>
        <w:ind w:hanging="480"/>
        <w:rPr>
          <w:rFonts w:ascii="Calibri" w:eastAsia="Calibri" w:hAnsi="Calibri" w:cs="Calibri"/>
          <w:sz w:val="22"/>
          <w:szCs w:val="22"/>
        </w:rPr>
      </w:pPr>
      <w:r>
        <w:rPr>
          <w:rFonts w:ascii="Calibri" w:eastAsia="Calibri" w:hAnsi="Calibri" w:cs="Calibri"/>
          <w:sz w:val="22"/>
          <w:szCs w:val="22"/>
        </w:rPr>
        <w:t xml:space="preserve">Kapoor, S., Tyagi, R., Saluja, K., Chaturvedi, A., &amp; Kapoor, A. K. (2010). Emerging health threats among a primitive tribal group of Central India. </w:t>
      </w:r>
      <w:r>
        <w:rPr>
          <w:rFonts w:ascii="Calibri" w:eastAsia="Calibri" w:hAnsi="Calibri" w:cs="Calibri"/>
          <w:i/>
          <w:sz w:val="22"/>
          <w:szCs w:val="22"/>
        </w:rPr>
        <w:t>Journal of Public Health and Epidemiology</w:t>
      </w:r>
      <w:r>
        <w:rPr>
          <w:rFonts w:ascii="Calibri" w:eastAsia="Calibri" w:hAnsi="Calibri" w:cs="Calibri"/>
          <w:sz w:val="22"/>
          <w:szCs w:val="22"/>
        </w:rPr>
        <w:t xml:space="preserve">, </w:t>
      </w:r>
      <w:r>
        <w:rPr>
          <w:rFonts w:ascii="Calibri" w:eastAsia="Calibri" w:hAnsi="Calibri" w:cs="Calibri"/>
          <w:i/>
          <w:sz w:val="22"/>
          <w:szCs w:val="22"/>
        </w:rPr>
        <w:t>2</w:t>
      </w:r>
      <w:r>
        <w:rPr>
          <w:rFonts w:ascii="Calibri" w:eastAsia="Calibri" w:hAnsi="Calibri" w:cs="Calibri"/>
          <w:sz w:val="22"/>
          <w:szCs w:val="22"/>
        </w:rPr>
        <w:t>(2), 13–19. http://www.academicjournals.org/jphe</w:t>
      </w:r>
    </w:p>
    <w:p w14:paraId="3A3FB079" w14:textId="77777777" w:rsidR="003934E1" w:rsidRDefault="00000000">
      <w:pPr>
        <w:spacing w:after="200" w:line="276" w:lineRule="auto"/>
        <w:ind w:hanging="480"/>
        <w:rPr>
          <w:rFonts w:ascii="Calibri" w:eastAsia="Calibri" w:hAnsi="Calibri" w:cs="Calibri"/>
          <w:sz w:val="22"/>
          <w:szCs w:val="22"/>
        </w:rPr>
      </w:pPr>
      <w:r>
        <w:rPr>
          <w:rFonts w:ascii="Calibri" w:eastAsia="Calibri" w:hAnsi="Calibri" w:cs="Calibri"/>
          <w:sz w:val="22"/>
          <w:szCs w:val="22"/>
        </w:rPr>
        <w:t xml:space="preserve">Lin, P. S. S., &amp; Lin, W. C. (2020). Rebuilding Relocated Tribal Communities Better via Culture: Livelihood and Social Resilience for Disaster Risk Reduction. </w:t>
      </w:r>
      <w:r>
        <w:rPr>
          <w:rFonts w:ascii="Calibri" w:eastAsia="Calibri" w:hAnsi="Calibri" w:cs="Calibri"/>
          <w:i/>
          <w:sz w:val="22"/>
          <w:szCs w:val="22"/>
        </w:rPr>
        <w:t>Sustainability 2020, Vol. 12, Page 4538</w:t>
      </w:r>
      <w:r>
        <w:rPr>
          <w:rFonts w:ascii="Calibri" w:eastAsia="Calibri" w:hAnsi="Calibri" w:cs="Calibri"/>
          <w:sz w:val="22"/>
          <w:szCs w:val="22"/>
        </w:rPr>
        <w:t xml:space="preserve">, </w:t>
      </w:r>
      <w:r>
        <w:rPr>
          <w:rFonts w:ascii="Calibri" w:eastAsia="Calibri" w:hAnsi="Calibri" w:cs="Calibri"/>
          <w:i/>
          <w:sz w:val="22"/>
          <w:szCs w:val="22"/>
        </w:rPr>
        <w:t>12</w:t>
      </w:r>
      <w:r>
        <w:rPr>
          <w:rFonts w:ascii="Calibri" w:eastAsia="Calibri" w:hAnsi="Calibri" w:cs="Calibri"/>
          <w:sz w:val="22"/>
          <w:szCs w:val="22"/>
        </w:rPr>
        <w:t>(11), 4538. https://doi.org/10.3390/SU12114538</w:t>
      </w:r>
    </w:p>
    <w:p w14:paraId="3861EEF2" w14:textId="77777777" w:rsidR="003934E1" w:rsidRDefault="00000000">
      <w:pPr>
        <w:spacing w:after="200" w:line="276" w:lineRule="auto"/>
        <w:ind w:hanging="480"/>
        <w:rPr>
          <w:rFonts w:ascii="Calibri" w:eastAsia="Calibri" w:hAnsi="Calibri" w:cs="Calibri"/>
          <w:sz w:val="22"/>
          <w:szCs w:val="22"/>
        </w:rPr>
      </w:pPr>
      <w:r>
        <w:rPr>
          <w:rFonts w:ascii="Calibri" w:eastAsia="Calibri" w:hAnsi="Calibri" w:cs="Calibri"/>
          <w:sz w:val="22"/>
          <w:szCs w:val="22"/>
        </w:rPr>
        <w:t xml:space="preserve">Lin, W. L., Ho, J. A., Ng, S. I., &amp; Lee, C. (2020). Does corporate social responsibility lead to improved firm performance? The hidden role of financial slack. </w:t>
      </w:r>
      <w:r>
        <w:rPr>
          <w:rFonts w:ascii="Calibri" w:eastAsia="Calibri" w:hAnsi="Calibri" w:cs="Calibri"/>
          <w:i/>
          <w:sz w:val="22"/>
          <w:szCs w:val="22"/>
        </w:rPr>
        <w:t>Social Responsibility Journal</w:t>
      </w:r>
      <w:r>
        <w:rPr>
          <w:rFonts w:ascii="Calibri" w:eastAsia="Calibri" w:hAnsi="Calibri" w:cs="Calibri"/>
          <w:sz w:val="22"/>
          <w:szCs w:val="22"/>
        </w:rPr>
        <w:t xml:space="preserve">, </w:t>
      </w:r>
      <w:r>
        <w:rPr>
          <w:rFonts w:ascii="Calibri" w:eastAsia="Calibri" w:hAnsi="Calibri" w:cs="Calibri"/>
          <w:i/>
          <w:sz w:val="22"/>
          <w:szCs w:val="22"/>
        </w:rPr>
        <w:t>16</w:t>
      </w:r>
      <w:r>
        <w:rPr>
          <w:rFonts w:ascii="Calibri" w:eastAsia="Calibri" w:hAnsi="Calibri" w:cs="Calibri"/>
          <w:sz w:val="22"/>
          <w:szCs w:val="22"/>
        </w:rPr>
        <w:t>(7), 957–982. https://doi.org/10.1108/SRJ-10-2018-0259</w:t>
      </w:r>
    </w:p>
    <w:p w14:paraId="20187D5A" w14:textId="77777777" w:rsidR="003934E1" w:rsidRDefault="00000000">
      <w:pPr>
        <w:spacing w:after="200" w:line="276" w:lineRule="auto"/>
        <w:ind w:hanging="480"/>
        <w:rPr>
          <w:rFonts w:ascii="Calibri" w:eastAsia="Calibri" w:hAnsi="Calibri" w:cs="Calibri"/>
          <w:sz w:val="22"/>
          <w:szCs w:val="22"/>
        </w:rPr>
      </w:pPr>
      <w:r>
        <w:rPr>
          <w:rFonts w:ascii="Calibri" w:eastAsia="Calibri" w:hAnsi="Calibri" w:cs="Calibri"/>
          <w:sz w:val="22"/>
          <w:szCs w:val="22"/>
        </w:rPr>
        <w:t xml:space="preserve">Muniyandi, M., Rao, V. G., Bhat, J., Yadav, R., Sharma, R. K., &amp; </w:t>
      </w:r>
      <w:proofErr w:type="spellStart"/>
      <w:r>
        <w:rPr>
          <w:rFonts w:ascii="Calibri" w:eastAsia="Calibri" w:hAnsi="Calibri" w:cs="Calibri"/>
          <w:sz w:val="22"/>
          <w:szCs w:val="22"/>
        </w:rPr>
        <w:t>Bhondeley</w:t>
      </w:r>
      <w:proofErr w:type="spellEnd"/>
      <w:r>
        <w:rPr>
          <w:rFonts w:ascii="Calibri" w:eastAsia="Calibri" w:hAnsi="Calibri" w:cs="Calibri"/>
          <w:sz w:val="22"/>
          <w:szCs w:val="22"/>
        </w:rPr>
        <w:t xml:space="preserve">, M. K. (2015). Health literacy on tuberculosis amongst vulnerable segment of population: special reference to </w:t>
      </w:r>
      <w:proofErr w:type="spellStart"/>
      <w:r>
        <w:rPr>
          <w:rFonts w:ascii="Calibri" w:eastAsia="Calibri" w:hAnsi="Calibri" w:cs="Calibri"/>
          <w:sz w:val="22"/>
          <w:szCs w:val="22"/>
        </w:rPr>
        <w:t>Saharia</w:t>
      </w:r>
      <w:proofErr w:type="spellEnd"/>
      <w:r>
        <w:rPr>
          <w:rFonts w:ascii="Calibri" w:eastAsia="Calibri" w:hAnsi="Calibri" w:cs="Calibri"/>
          <w:sz w:val="22"/>
          <w:szCs w:val="22"/>
        </w:rPr>
        <w:t xml:space="preserve"> tribe in central India. </w:t>
      </w:r>
      <w:r>
        <w:rPr>
          <w:rFonts w:ascii="Calibri" w:eastAsia="Calibri" w:hAnsi="Calibri" w:cs="Calibri"/>
          <w:i/>
          <w:sz w:val="22"/>
          <w:szCs w:val="22"/>
        </w:rPr>
        <w:t>The Indian Journal of Medical Research</w:t>
      </w:r>
      <w:r>
        <w:rPr>
          <w:rFonts w:ascii="Calibri" w:eastAsia="Calibri" w:hAnsi="Calibri" w:cs="Calibri"/>
          <w:sz w:val="22"/>
          <w:szCs w:val="22"/>
        </w:rPr>
        <w:t xml:space="preserve">, </w:t>
      </w:r>
      <w:r>
        <w:rPr>
          <w:rFonts w:ascii="Calibri" w:eastAsia="Calibri" w:hAnsi="Calibri" w:cs="Calibri"/>
          <w:i/>
          <w:sz w:val="22"/>
          <w:szCs w:val="22"/>
        </w:rPr>
        <w:t>141</w:t>
      </w:r>
      <w:r>
        <w:rPr>
          <w:rFonts w:ascii="Calibri" w:eastAsia="Calibri" w:hAnsi="Calibri" w:cs="Calibri"/>
          <w:sz w:val="22"/>
          <w:szCs w:val="22"/>
        </w:rPr>
        <w:t>(5), 640–647. https://doi.org/10.4103/0971-5916.159566</w:t>
      </w:r>
    </w:p>
    <w:p w14:paraId="668DAB74" w14:textId="77777777" w:rsidR="003934E1" w:rsidRDefault="00000000">
      <w:pPr>
        <w:spacing w:after="200" w:line="276" w:lineRule="auto"/>
        <w:ind w:hanging="480"/>
        <w:rPr>
          <w:rFonts w:ascii="Calibri" w:eastAsia="Calibri" w:hAnsi="Calibri" w:cs="Calibri"/>
          <w:sz w:val="22"/>
          <w:szCs w:val="22"/>
        </w:rPr>
      </w:pPr>
      <w:r>
        <w:rPr>
          <w:rFonts w:ascii="Calibri" w:eastAsia="Calibri" w:hAnsi="Calibri" w:cs="Calibri"/>
          <w:sz w:val="22"/>
          <w:szCs w:val="22"/>
        </w:rPr>
        <w:t xml:space="preserve">Plano Clark, V. L. (2017). Mixed methods research. </w:t>
      </w:r>
      <w:r>
        <w:rPr>
          <w:rFonts w:ascii="Calibri" w:eastAsia="Calibri" w:hAnsi="Calibri" w:cs="Calibri"/>
          <w:i/>
          <w:sz w:val="22"/>
          <w:szCs w:val="22"/>
        </w:rPr>
        <w:t>Journal of Positive Psychology</w:t>
      </w:r>
      <w:r>
        <w:rPr>
          <w:rFonts w:ascii="Calibri" w:eastAsia="Calibri" w:hAnsi="Calibri" w:cs="Calibri"/>
          <w:sz w:val="22"/>
          <w:szCs w:val="22"/>
        </w:rPr>
        <w:t xml:space="preserve">, </w:t>
      </w:r>
      <w:r>
        <w:rPr>
          <w:rFonts w:ascii="Calibri" w:eastAsia="Calibri" w:hAnsi="Calibri" w:cs="Calibri"/>
          <w:i/>
          <w:sz w:val="22"/>
          <w:szCs w:val="22"/>
        </w:rPr>
        <w:t>12</w:t>
      </w:r>
      <w:r>
        <w:rPr>
          <w:rFonts w:ascii="Calibri" w:eastAsia="Calibri" w:hAnsi="Calibri" w:cs="Calibri"/>
          <w:sz w:val="22"/>
          <w:szCs w:val="22"/>
        </w:rPr>
        <w:t>(3), 305–306. https://doi.org/10.1080/17439760.2016.1262619</w:t>
      </w:r>
    </w:p>
    <w:p w14:paraId="63F75F19" w14:textId="77777777" w:rsidR="003934E1" w:rsidRDefault="00000000">
      <w:pPr>
        <w:spacing w:after="200" w:line="276" w:lineRule="auto"/>
        <w:ind w:hanging="480"/>
        <w:rPr>
          <w:rFonts w:ascii="Calibri" w:eastAsia="Calibri" w:hAnsi="Calibri" w:cs="Calibri"/>
          <w:sz w:val="22"/>
          <w:szCs w:val="22"/>
        </w:rPr>
      </w:pPr>
      <w:r>
        <w:rPr>
          <w:rFonts w:ascii="Calibri" w:eastAsia="Calibri" w:hAnsi="Calibri" w:cs="Calibri"/>
          <w:sz w:val="22"/>
          <w:szCs w:val="22"/>
        </w:rPr>
        <w:t xml:space="preserve">Prabhune, A. G. G., &amp; </w:t>
      </w:r>
      <w:proofErr w:type="spellStart"/>
      <w:r>
        <w:rPr>
          <w:rFonts w:ascii="Calibri" w:eastAsia="Calibri" w:hAnsi="Calibri" w:cs="Calibri"/>
          <w:sz w:val="22"/>
          <w:szCs w:val="22"/>
        </w:rPr>
        <w:t>Dadha</w:t>
      </w:r>
      <w:proofErr w:type="spellEnd"/>
      <w:r>
        <w:rPr>
          <w:rFonts w:ascii="Calibri" w:eastAsia="Calibri" w:hAnsi="Calibri" w:cs="Calibri"/>
          <w:sz w:val="22"/>
          <w:szCs w:val="22"/>
        </w:rPr>
        <w:t xml:space="preserve">, P. (2025). Bridging Gaps in Tuberculosis Control: A Culturally Competent Approach for Tribal Populations in India. </w:t>
      </w:r>
      <w:proofErr w:type="spellStart"/>
      <w:r>
        <w:rPr>
          <w:rFonts w:ascii="Calibri" w:eastAsia="Calibri" w:hAnsi="Calibri" w:cs="Calibri"/>
          <w:i/>
          <w:sz w:val="22"/>
          <w:szCs w:val="22"/>
        </w:rPr>
        <w:t>Cureus</w:t>
      </w:r>
      <w:proofErr w:type="spellEnd"/>
      <w:r>
        <w:rPr>
          <w:rFonts w:ascii="Calibri" w:eastAsia="Calibri" w:hAnsi="Calibri" w:cs="Calibri"/>
          <w:sz w:val="22"/>
          <w:szCs w:val="22"/>
        </w:rPr>
        <w:t xml:space="preserve">, </w:t>
      </w:r>
      <w:r>
        <w:rPr>
          <w:rFonts w:ascii="Calibri" w:eastAsia="Calibri" w:hAnsi="Calibri" w:cs="Calibri"/>
          <w:i/>
          <w:sz w:val="22"/>
          <w:szCs w:val="22"/>
        </w:rPr>
        <w:t>17</w:t>
      </w:r>
      <w:r>
        <w:rPr>
          <w:rFonts w:ascii="Calibri" w:eastAsia="Calibri" w:hAnsi="Calibri" w:cs="Calibri"/>
          <w:sz w:val="22"/>
          <w:szCs w:val="22"/>
        </w:rPr>
        <w:t>(3), 80689. https://doi.org/10.7759/cureus.80689</w:t>
      </w:r>
    </w:p>
    <w:p w14:paraId="240839BF" w14:textId="77777777" w:rsidR="003934E1" w:rsidRDefault="00000000">
      <w:pPr>
        <w:spacing w:after="200" w:line="276" w:lineRule="auto"/>
        <w:ind w:hanging="480"/>
        <w:rPr>
          <w:rFonts w:ascii="Calibri" w:eastAsia="Calibri" w:hAnsi="Calibri" w:cs="Calibri"/>
          <w:sz w:val="22"/>
          <w:szCs w:val="22"/>
        </w:rPr>
      </w:pPr>
      <w:r>
        <w:rPr>
          <w:rFonts w:ascii="Calibri" w:eastAsia="Calibri" w:hAnsi="Calibri" w:cs="Calibri"/>
          <w:sz w:val="22"/>
          <w:szCs w:val="22"/>
        </w:rPr>
        <w:t xml:space="preserve">Ramanathan Member, U., Bara Member, J., Misra Member, K. K., Bang Member, A., Basant Member, S., &amp; Panda Member Secretary, H. (2014). </w:t>
      </w:r>
      <w:r>
        <w:rPr>
          <w:rFonts w:ascii="Calibri" w:eastAsia="Calibri" w:hAnsi="Calibri" w:cs="Calibri"/>
          <w:i/>
          <w:sz w:val="22"/>
          <w:szCs w:val="22"/>
        </w:rPr>
        <w:t>Report on the high level committee on socio-economic, health and educational status of tribal communities of India</w:t>
      </w:r>
      <w:r>
        <w:rPr>
          <w:rFonts w:ascii="Calibri" w:eastAsia="Calibri" w:hAnsi="Calibri" w:cs="Calibri"/>
          <w:sz w:val="22"/>
          <w:szCs w:val="22"/>
        </w:rPr>
        <w:t>. http://archive.nyu.edu/handle/2451/36746</w:t>
      </w:r>
    </w:p>
    <w:p w14:paraId="6A9C0AEF" w14:textId="77777777" w:rsidR="003934E1" w:rsidRDefault="00000000">
      <w:pPr>
        <w:spacing w:after="200" w:line="276" w:lineRule="auto"/>
        <w:ind w:hanging="480"/>
        <w:rPr>
          <w:rFonts w:ascii="Calibri" w:eastAsia="Calibri" w:hAnsi="Calibri" w:cs="Calibri"/>
          <w:sz w:val="22"/>
          <w:szCs w:val="22"/>
        </w:rPr>
      </w:pPr>
      <w:r>
        <w:rPr>
          <w:rFonts w:ascii="Calibri" w:eastAsia="Calibri" w:hAnsi="Calibri" w:cs="Calibri"/>
          <w:sz w:val="22"/>
          <w:szCs w:val="22"/>
        </w:rPr>
        <w:t xml:space="preserve">Singh, M. S., Modi, S., &amp; Maurya, R. (2022). Livelihood Security and Sustainability of MGNREGA in Tribal Areas. </w:t>
      </w:r>
      <w:r>
        <w:rPr>
          <w:rFonts w:ascii="Calibri" w:eastAsia="Calibri" w:hAnsi="Calibri" w:cs="Calibri"/>
          <w:i/>
          <w:sz w:val="22"/>
          <w:szCs w:val="22"/>
        </w:rPr>
        <w:t xml:space="preserve">The International Journal of Social Sciences World </w:t>
      </w:r>
      <w:r>
        <w:rPr>
          <w:rFonts w:ascii="Calibri" w:eastAsia="Calibri" w:hAnsi="Calibri" w:cs="Calibri"/>
          <w:sz w:val="22"/>
          <w:szCs w:val="22"/>
        </w:rPr>
        <w:t xml:space="preserve">, </w:t>
      </w:r>
      <w:r>
        <w:rPr>
          <w:rFonts w:ascii="Calibri" w:eastAsia="Calibri" w:hAnsi="Calibri" w:cs="Calibri"/>
          <w:i/>
          <w:sz w:val="22"/>
          <w:szCs w:val="22"/>
        </w:rPr>
        <w:t>4</w:t>
      </w:r>
      <w:r>
        <w:rPr>
          <w:rFonts w:ascii="Calibri" w:eastAsia="Calibri" w:hAnsi="Calibri" w:cs="Calibri"/>
          <w:sz w:val="22"/>
          <w:szCs w:val="22"/>
        </w:rPr>
        <w:t>(2), 63–76. https://doi.org/10.5281/zenodo.7059024</w:t>
      </w:r>
    </w:p>
    <w:p w14:paraId="7F5C55A7" w14:textId="77777777" w:rsidR="003934E1" w:rsidRDefault="00000000">
      <w:pPr>
        <w:spacing w:after="200" w:line="276" w:lineRule="auto"/>
        <w:ind w:hanging="480"/>
        <w:rPr>
          <w:rFonts w:ascii="Calibri" w:eastAsia="Calibri" w:hAnsi="Calibri" w:cs="Calibri"/>
          <w:sz w:val="22"/>
          <w:szCs w:val="22"/>
        </w:rPr>
      </w:pPr>
      <w:r>
        <w:rPr>
          <w:rFonts w:ascii="Calibri" w:eastAsia="Calibri" w:hAnsi="Calibri" w:cs="Calibri"/>
          <w:sz w:val="22"/>
          <w:szCs w:val="22"/>
        </w:rPr>
        <w:t xml:space="preserve">Sodhi, D. (2024). </w:t>
      </w:r>
      <w:proofErr w:type="spellStart"/>
      <w:r>
        <w:rPr>
          <w:rFonts w:ascii="Calibri" w:eastAsia="Calibri" w:hAnsi="Calibri" w:cs="Calibri"/>
          <w:sz w:val="22"/>
          <w:szCs w:val="22"/>
        </w:rPr>
        <w:t>Deviishee</w:t>
      </w:r>
      <w:proofErr w:type="spellEnd"/>
      <w:r>
        <w:rPr>
          <w:rFonts w:ascii="Calibri" w:eastAsia="Calibri" w:hAnsi="Calibri" w:cs="Calibri"/>
          <w:sz w:val="22"/>
          <w:szCs w:val="22"/>
        </w:rPr>
        <w:t xml:space="preserve"> Sodhi* www.ignited.in Impact of MGNREGA on economic conditions of tribal community. </w:t>
      </w:r>
      <w:r>
        <w:rPr>
          <w:rFonts w:ascii="Calibri" w:eastAsia="Calibri" w:hAnsi="Calibri" w:cs="Calibri"/>
          <w:i/>
          <w:sz w:val="22"/>
          <w:szCs w:val="22"/>
        </w:rPr>
        <w:t>Journal of Advances and Scholarly Researches in Allied Education</w:t>
      </w:r>
      <w:r>
        <w:rPr>
          <w:rFonts w:ascii="Calibri" w:eastAsia="Calibri" w:hAnsi="Calibri" w:cs="Calibri"/>
          <w:sz w:val="22"/>
          <w:szCs w:val="22"/>
        </w:rPr>
        <w:t xml:space="preserve">, </w:t>
      </w:r>
      <w:r>
        <w:rPr>
          <w:rFonts w:ascii="Calibri" w:eastAsia="Calibri" w:hAnsi="Calibri" w:cs="Calibri"/>
          <w:i/>
          <w:sz w:val="22"/>
          <w:szCs w:val="22"/>
        </w:rPr>
        <w:t>21</w:t>
      </w:r>
      <w:r>
        <w:rPr>
          <w:rFonts w:ascii="Calibri" w:eastAsia="Calibri" w:hAnsi="Calibri" w:cs="Calibri"/>
          <w:sz w:val="22"/>
          <w:szCs w:val="22"/>
        </w:rPr>
        <w:t>(5). www.ignited.in</w:t>
      </w:r>
    </w:p>
    <w:p w14:paraId="144ED7EA" w14:textId="77777777" w:rsidR="003934E1" w:rsidRDefault="00000000">
      <w:pPr>
        <w:spacing w:after="200" w:line="276" w:lineRule="auto"/>
        <w:ind w:hanging="480"/>
        <w:rPr>
          <w:rFonts w:ascii="Calibri" w:eastAsia="Calibri" w:hAnsi="Calibri" w:cs="Calibri"/>
          <w:sz w:val="22"/>
          <w:szCs w:val="22"/>
        </w:rPr>
      </w:pPr>
      <w:r>
        <w:rPr>
          <w:rFonts w:ascii="Calibri" w:eastAsia="Calibri" w:hAnsi="Calibri" w:cs="Calibri"/>
          <w:sz w:val="22"/>
          <w:szCs w:val="22"/>
        </w:rPr>
        <w:lastRenderedPageBreak/>
        <w:t xml:space="preserve">Vishwakarma, D. Das. (2022). Dimensions of Development of the Scheduled Tribes in Madhya Pradesh: A Comparative Analysis. </w:t>
      </w:r>
      <w:r>
        <w:rPr>
          <w:rFonts w:ascii="Calibri" w:eastAsia="Calibri" w:hAnsi="Calibri" w:cs="Calibri"/>
          <w:i/>
          <w:sz w:val="22"/>
          <w:szCs w:val="22"/>
        </w:rPr>
        <w:t>Annals of the National Association of Geographers India</w:t>
      </w:r>
      <w:r>
        <w:rPr>
          <w:rFonts w:ascii="Calibri" w:eastAsia="Calibri" w:hAnsi="Calibri" w:cs="Calibri"/>
          <w:sz w:val="22"/>
          <w:szCs w:val="22"/>
        </w:rPr>
        <w:t xml:space="preserve">, </w:t>
      </w:r>
      <w:r>
        <w:rPr>
          <w:rFonts w:ascii="Calibri" w:eastAsia="Calibri" w:hAnsi="Calibri" w:cs="Calibri"/>
          <w:i/>
          <w:sz w:val="22"/>
          <w:szCs w:val="22"/>
        </w:rPr>
        <w:t>42</w:t>
      </w:r>
      <w:r>
        <w:rPr>
          <w:rFonts w:ascii="Calibri" w:eastAsia="Calibri" w:hAnsi="Calibri" w:cs="Calibri"/>
          <w:sz w:val="22"/>
          <w:szCs w:val="22"/>
        </w:rPr>
        <w:t>(2), 395. https://doi.org/10.32381/ATNAGI.2022.42.02.10</w:t>
      </w:r>
    </w:p>
    <w:p w14:paraId="2FBDE33B" w14:textId="77777777" w:rsidR="003934E1" w:rsidRDefault="00000000">
      <w:pPr>
        <w:spacing w:before="280" w:after="200"/>
        <w:jc w:val="both"/>
        <w:rPr>
          <w:rFonts w:ascii="Times New Roman" w:eastAsia="Times New Roman" w:hAnsi="Times New Roman" w:cs="Times New Roman"/>
          <w:b/>
        </w:rPr>
      </w:pPr>
      <w:r>
        <w:rPr>
          <w:rFonts w:ascii="Calibri" w:eastAsia="Calibri" w:hAnsi="Calibri" w:cs="Calibri"/>
          <w:sz w:val="22"/>
          <w:szCs w:val="22"/>
        </w:rPr>
        <w:t> </w:t>
      </w:r>
    </w:p>
    <w:p w14:paraId="22C32341" w14:textId="77777777" w:rsidR="003934E1" w:rsidRDefault="003934E1">
      <w:pPr>
        <w:spacing w:after="160" w:line="360" w:lineRule="auto"/>
        <w:jc w:val="both"/>
        <w:rPr>
          <w:rFonts w:ascii="Times New Roman" w:eastAsia="Times New Roman" w:hAnsi="Times New Roman" w:cs="Times New Roman"/>
        </w:rPr>
      </w:pPr>
    </w:p>
    <w:p w14:paraId="332C3FC4" w14:textId="77777777" w:rsidR="003934E1" w:rsidRDefault="003934E1">
      <w:pPr>
        <w:spacing w:after="160" w:line="360" w:lineRule="auto"/>
        <w:jc w:val="both"/>
        <w:rPr>
          <w:rFonts w:ascii="Times New Roman" w:eastAsia="Times New Roman" w:hAnsi="Times New Roman" w:cs="Times New Roman"/>
        </w:rPr>
      </w:pPr>
    </w:p>
    <w:p w14:paraId="43972329" w14:textId="77777777" w:rsidR="003934E1" w:rsidRDefault="003934E1">
      <w:pPr>
        <w:spacing w:after="160" w:line="360" w:lineRule="auto"/>
        <w:jc w:val="both"/>
        <w:rPr>
          <w:rFonts w:ascii="Times New Roman" w:eastAsia="Times New Roman" w:hAnsi="Times New Roman" w:cs="Times New Roman"/>
        </w:rPr>
      </w:pPr>
    </w:p>
    <w:p w14:paraId="182CB762" w14:textId="77777777" w:rsidR="003934E1" w:rsidRDefault="003934E1">
      <w:pPr>
        <w:spacing w:after="160" w:line="360" w:lineRule="auto"/>
        <w:jc w:val="both"/>
        <w:rPr>
          <w:rFonts w:ascii="Times New Roman" w:eastAsia="Times New Roman" w:hAnsi="Times New Roman" w:cs="Times New Roman"/>
        </w:rPr>
      </w:pPr>
    </w:p>
    <w:p w14:paraId="0683FC21" w14:textId="77777777" w:rsidR="003934E1" w:rsidRDefault="003934E1">
      <w:pPr>
        <w:spacing w:after="160" w:line="360" w:lineRule="auto"/>
        <w:jc w:val="both"/>
        <w:rPr>
          <w:rFonts w:ascii="Times New Roman" w:eastAsia="Times New Roman" w:hAnsi="Times New Roman" w:cs="Times New Roman"/>
        </w:rPr>
      </w:pPr>
    </w:p>
    <w:p w14:paraId="106C2315" w14:textId="77777777" w:rsidR="003934E1" w:rsidRDefault="003934E1">
      <w:pPr>
        <w:spacing w:after="160" w:line="360" w:lineRule="auto"/>
        <w:jc w:val="both"/>
        <w:rPr>
          <w:rFonts w:ascii="Times New Roman" w:eastAsia="Times New Roman" w:hAnsi="Times New Roman" w:cs="Times New Roman"/>
        </w:rPr>
      </w:pPr>
    </w:p>
    <w:p w14:paraId="1F8A8CBC" w14:textId="77777777" w:rsidR="003934E1" w:rsidRDefault="003934E1">
      <w:pPr>
        <w:spacing w:after="160" w:line="360" w:lineRule="auto"/>
        <w:jc w:val="both"/>
        <w:rPr>
          <w:rFonts w:ascii="Times New Roman" w:eastAsia="Times New Roman" w:hAnsi="Times New Roman" w:cs="Times New Roman"/>
        </w:rPr>
      </w:pPr>
    </w:p>
    <w:p w14:paraId="2145D34D" w14:textId="77777777" w:rsidR="003934E1" w:rsidRDefault="003934E1">
      <w:pPr>
        <w:spacing w:after="160" w:line="360" w:lineRule="auto"/>
        <w:jc w:val="both"/>
        <w:rPr>
          <w:rFonts w:ascii="Times New Roman" w:eastAsia="Times New Roman" w:hAnsi="Times New Roman" w:cs="Times New Roman"/>
        </w:rPr>
      </w:pPr>
    </w:p>
    <w:p w14:paraId="0EC803FF" w14:textId="77777777" w:rsidR="003934E1" w:rsidRDefault="003934E1">
      <w:pPr>
        <w:spacing w:after="160" w:line="360" w:lineRule="auto"/>
        <w:jc w:val="both"/>
        <w:rPr>
          <w:rFonts w:ascii="Times New Roman" w:eastAsia="Times New Roman" w:hAnsi="Times New Roman" w:cs="Times New Roman"/>
        </w:rPr>
      </w:pPr>
    </w:p>
    <w:p w14:paraId="2A4E0B01" w14:textId="77777777" w:rsidR="003934E1" w:rsidRDefault="003934E1">
      <w:pPr>
        <w:spacing w:after="160" w:line="360" w:lineRule="auto"/>
        <w:jc w:val="both"/>
        <w:rPr>
          <w:rFonts w:ascii="Times New Roman" w:eastAsia="Times New Roman" w:hAnsi="Times New Roman" w:cs="Times New Roman"/>
        </w:rPr>
      </w:pPr>
    </w:p>
    <w:p w14:paraId="0F08F624" w14:textId="77777777" w:rsidR="003934E1" w:rsidRDefault="003934E1">
      <w:pPr>
        <w:spacing w:after="160" w:line="360" w:lineRule="auto"/>
        <w:jc w:val="both"/>
        <w:rPr>
          <w:rFonts w:ascii="Times New Roman" w:eastAsia="Times New Roman" w:hAnsi="Times New Roman" w:cs="Times New Roman"/>
        </w:rPr>
      </w:pPr>
    </w:p>
    <w:p w14:paraId="65D76F35" w14:textId="77777777" w:rsidR="003934E1" w:rsidRDefault="003934E1">
      <w:pPr>
        <w:spacing w:after="160" w:line="360" w:lineRule="auto"/>
        <w:jc w:val="both"/>
        <w:rPr>
          <w:rFonts w:ascii="Times New Roman" w:eastAsia="Times New Roman" w:hAnsi="Times New Roman" w:cs="Times New Roman"/>
        </w:rPr>
      </w:pPr>
    </w:p>
    <w:p w14:paraId="14D243EF" w14:textId="77777777" w:rsidR="003934E1" w:rsidRDefault="003934E1">
      <w:pPr>
        <w:spacing w:after="160" w:line="360" w:lineRule="auto"/>
        <w:jc w:val="both"/>
        <w:rPr>
          <w:rFonts w:ascii="Times New Roman" w:eastAsia="Times New Roman" w:hAnsi="Times New Roman" w:cs="Times New Roman"/>
        </w:rPr>
      </w:pPr>
    </w:p>
    <w:p w14:paraId="6184EF14" w14:textId="77777777" w:rsidR="003934E1" w:rsidRDefault="003934E1">
      <w:pPr>
        <w:spacing w:after="160" w:line="360" w:lineRule="auto"/>
        <w:jc w:val="both"/>
        <w:rPr>
          <w:rFonts w:ascii="Times New Roman" w:eastAsia="Times New Roman" w:hAnsi="Times New Roman" w:cs="Times New Roman"/>
        </w:rPr>
      </w:pPr>
    </w:p>
    <w:p w14:paraId="43D4C881" w14:textId="77777777" w:rsidR="003934E1" w:rsidRDefault="003934E1">
      <w:pPr>
        <w:spacing w:after="160" w:line="360" w:lineRule="auto"/>
        <w:jc w:val="both"/>
        <w:rPr>
          <w:rFonts w:ascii="Times New Roman" w:eastAsia="Times New Roman" w:hAnsi="Times New Roman" w:cs="Times New Roman"/>
        </w:rPr>
      </w:pPr>
    </w:p>
    <w:p w14:paraId="551CC877" w14:textId="77777777" w:rsidR="003934E1" w:rsidRDefault="003934E1">
      <w:pPr>
        <w:spacing w:after="160" w:line="360" w:lineRule="auto"/>
        <w:jc w:val="both"/>
        <w:rPr>
          <w:rFonts w:ascii="Times New Roman" w:eastAsia="Times New Roman" w:hAnsi="Times New Roman" w:cs="Times New Roman"/>
        </w:rPr>
      </w:pPr>
    </w:p>
    <w:p w14:paraId="4C4361A2" w14:textId="77777777" w:rsidR="003934E1" w:rsidRDefault="003934E1">
      <w:pPr>
        <w:spacing w:after="160" w:line="360" w:lineRule="auto"/>
        <w:jc w:val="both"/>
        <w:rPr>
          <w:rFonts w:ascii="Times New Roman" w:eastAsia="Times New Roman" w:hAnsi="Times New Roman" w:cs="Times New Roman"/>
        </w:rPr>
      </w:pPr>
    </w:p>
    <w:p w14:paraId="50056CFA" w14:textId="77777777" w:rsidR="003934E1" w:rsidRDefault="003934E1">
      <w:pPr>
        <w:spacing w:after="160" w:line="360" w:lineRule="auto"/>
        <w:jc w:val="both"/>
        <w:rPr>
          <w:rFonts w:ascii="Times New Roman" w:eastAsia="Times New Roman" w:hAnsi="Times New Roman" w:cs="Times New Roman"/>
        </w:rPr>
      </w:pPr>
    </w:p>
    <w:p w14:paraId="7B328696" w14:textId="77777777" w:rsidR="003934E1"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Sanghamitra R. Verman</w:t>
      </w:r>
    </w:p>
    <w:p w14:paraId="5C622B8A" w14:textId="77777777" w:rsidR="003934E1" w:rsidRDefault="003934E1">
      <w:pPr>
        <w:spacing w:after="160" w:line="259" w:lineRule="auto"/>
        <w:jc w:val="center"/>
        <w:rPr>
          <w:rFonts w:ascii="Times New Roman" w:eastAsia="Times New Roman" w:hAnsi="Times New Roman" w:cs="Times New Roman"/>
          <w:b/>
          <w:sz w:val="28"/>
          <w:szCs w:val="28"/>
        </w:rPr>
      </w:pPr>
    </w:p>
    <w:p w14:paraId="3D2D417F" w14:textId="77777777" w:rsidR="003934E1" w:rsidRDefault="00000000">
      <w:pPr>
        <w:spacing w:after="160" w:line="259"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Indigenous Women Weaver of Northeast India: Custodian of Tradition and Culture</w:t>
      </w:r>
    </w:p>
    <w:p w14:paraId="0C36825A" w14:textId="77777777" w:rsidR="003934E1" w:rsidRDefault="00000000">
      <w:pPr>
        <w:spacing w:after="160" w:line="259"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Abstract</w:t>
      </w:r>
    </w:p>
    <w:p w14:paraId="223368AD" w14:textId="77777777" w:rsidR="003934E1" w:rsidRDefault="00000000">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 xml:space="preserve">Textiles, tradition and culture are intertwined with each other and holds profound significance in many societies across the world. The woven material transmits much information about the culture that created it. Since sewing and knitting are activities considered to be the exclusive domain of women in most cultures across the world, this article traces the role of women weavers of Northeast India as custodian of tradition and culture. In the context of the Northeast Indian cultures, textile weaving is integral to the production of culture and it is a distinctive identity marker of each indigenous group of the region. The woven textiles of indigenous peoples of Northeast India embody unique ideas of a culture and act as a means of connecting with the past. Rather than seeing women as passive agents, this paper tries to locate women as agents of cultures. </w:t>
      </w:r>
    </w:p>
    <w:p w14:paraId="29436E3F" w14:textId="77777777" w:rsidR="003934E1" w:rsidRDefault="00000000">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 xml:space="preserve">While textiles can be read as sites of memory, which may translate into cultural meanings, the paper also examines how these meanings can be reinvented and shaped depending on the change in conceptual frameworks. The paper shall focus primarily on the textile weaving of indigenous women of Northeast India. Weaving as women’s discourse in the context of Northeast India is especially significant because unlike in other parts of India, where weaving is an activity associated with men, here, weaving is exclusive domain of women. Rather than looking at the materiality of traditional woven textiles as cultural signifiers with stable, fixed and monolithic meanings, it is imperative to give cognizance to the multiple and often shifting meanings that they assume while also looking at the women weaver’s positionality in the production of cultural meanings. </w:t>
      </w:r>
    </w:p>
    <w:p w14:paraId="1AE91F9C" w14:textId="77777777" w:rsidR="003934E1" w:rsidRDefault="00000000">
      <w:pPr>
        <w:spacing w:after="160" w:line="259" w:lineRule="auto"/>
        <w:jc w:val="both"/>
        <w:rPr>
          <w:rFonts w:ascii="Times New Roman" w:eastAsia="Times New Roman" w:hAnsi="Times New Roman" w:cs="Times New Roman"/>
        </w:rPr>
      </w:pPr>
      <w:r>
        <w:rPr>
          <w:rFonts w:ascii="Times New Roman" w:eastAsia="Times New Roman" w:hAnsi="Times New Roman" w:cs="Times New Roman"/>
        </w:rPr>
        <w:t xml:space="preserve">The article will study semiotic power of the textiles. The article will try to decipher the meaning of motifs and insignias used in traditional textiles to assign certain social positions of the wearer.  The article will explore into folklores and folksongs associated with women weavers and would try to explain how beautifully these songs portray the minds of these women.  Weaving is a cultural tradition which becomes a vital force that establishes women’s contribution to the perpetuation of culture. With weaving being integral to the cultural heritage of indigenous societies of Northeast India, it can be seen as a marker of ethnic identity while at the same time, it can also offer a deeply personal and spiritual journey that records the individual experiences and creative vision of the women weavers. </w:t>
      </w:r>
    </w:p>
    <w:p w14:paraId="7C6E6A67" w14:textId="77777777" w:rsidR="003934E1" w:rsidRDefault="003934E1">
      <w:pPr>
        <w:spacing w:after="160" w:line="259" w:lineRule="auto"/>
        <w:jc w:val="both"/>
        <w:rPr>
          <w:rFonts w:ascii="Times New Roman" w:eastAsia="Times New Roman" w:hAnsi="Times New Roman" w:cs="Times New Roman"/>
        </w:rPr>
      </w:pPr>
    </w:p>
    <w:p w14:paraId="32F4DD3E" w14:textId="77777777" w:rsidR="003934E1" w:rsidRDefault="003934E1">
      <w:pPr>
        <w:spacing w:after="160" w:line="360" w:lineRule="auto"/>
        <w:jc w:val="both"/>
        <w:rPr>
          <w:rFonts w:ascii="Times New Roman" w:eastAsia="Times New Roman" w:hAnsi="Times New Roman" w:cs="Times New Roman"/>
        </w:rPr>
      </w:pPr>
    </w:p>
    <w:p w14:paraId="76D855AF" w14:textId="77777777" w:rsidR="003934E1" w:rsidRDefault="003934E1">
      <w:pPr>
        <w:spacing w:after="160" w:line="360" w:lineRule="auto"/>
        <w:jc w:val="both"/>
        <w:rPr>
          <w:rFonts w:ascii="Times New Roman" w:eastAsia="Times New Roman" w:hAnsi="Times New Roman" w:cs="Times New Roman"/>
        </w:rPr>
      </w:pPr>
    </w:p>
    <w:p w14:paraId="645C0352" w14:textId="77777777" w:rsidR="003934E1" w:rsidRDefault="003934E1">
      <w:pPr>
        <w:spacing w:after="160" w:line="360" w:lineRule="auto"/>
        <w:jc w:val="both"/>
        <w:rPr>
          <w:rFonts w:ascii="Times New Roman" w:eastAsia="Times New Roman" w:hAnsi="Times New Roman" w:cs="Times New Roman"/>
        </w:rPr>
      </w:pPr>
    </w:p>
    <w:p w14:paraId="38F85E72" w14:textId="77777777" w:rsidR="003934E1" w:rsidRDefault="003934E1">
      <w:pPr>
        <w:spacing w:after="160" w:line="360" w:lineRule="auto"/>
        <w:jc w:val="both"/>
        <w:rPr>
          <w:rFonts w:ascii="Times New Roman" w:eastAsia="Times New Roman" w:hAnsi="Times New Roman" w:cs="Times New Roman"/>
        </w:rPr>
      </w:pPr>
    </w:p>
    <w:p w14:paraId="2B4C0658" w14:textId="77777777" w:rsidR="003934E1" w:rsidRDefault="00000000">
      <w:pPr>
        <w:widowControl w:val="0"/>
        <w:ind w:right="55"/>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1 </w:t>
      </w:r>
    </w:p>
    <w:p w14:paraId="1E9C2A06"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6804E9AA" w14:textId="77777777" w:rsidR="003934E1" w:rsidRDefault="00000000">
      <w:pPr>
        <w:widowControl w:val="0"/>
        <w:spacing w:before="1543"/>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Epistemologies of rebellion: </w:t>
      </w:r>
    </w:p>
    <w:p w14:paraId="1F851585" w14:textId="77777777" w:rsidR="003934E1" w:rsidRDefault="00000000">
      <w:pPr>
        <w:widowControl w:val="0"/>
        <w:spacing w:before="1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Revisiting colonial archives, racialised myths  </w:t>
      </w:r>
    </w:p>
    <w:p w14:paraId="4F976555" w14:textId="77777777" w:rsidR="003934E1" w:rsidRDefault="00000000">
      <w:pPr>
        <w:widowControl w:val="0"/>
        <w:spacing w:before="15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and Adivasi insurgencies, 1850-1908. </w:t>
      </w:r>
    </w:p>
    <w:p w14:paraId="7E175BCC" w14:textId="77777777" w:rsidR="003934E1" w:rsidRDefault="00000000">
      <w:pPr>
        <w:widowControl w:val="0"/>
        <w:spacing w:before="1398"/>
        <w:jc w:val="center"/>
        <w:rPr>
          <w:rFonts w:ascii="Times New Roman" w:eastAsia="Times New Roman" w:hAnsi="Times New Roman" w:cs="Times New Roman"/>
        </w:rPr>
      </w:pPr>
      <w:r>
        <w:rPr>
          <w:rFonts w:ascii="Times New Roman" w:eastAsia="Times New Roman" w:hAnsi="Times New Roman" w:cs="Times New Roman"/>
        </w:rPr>
        <w:t xml:space="preserve">Anubhuti Agnes Bara </w:t>
      </w:r>
    </w:p>
    <w:p w14:paraId="61298CDB" w14:textId="77777777" w:rsidR="003934E1" w:rsidRDefault="00000000">
      <w:pPr>
        <w:widowControl w:val="0"/>
        <w:spacing w:before="132"/>
        <w:jc w:val="center"/>
        <w:rPr>
          <w:rFonts w:ascii="Times New Roman" w:eastAsia="Times New Roman" w:hAnsi="Times New Roman" w:cs="Times New Roman"/>
        </w:rPr>
      </w:pPr>
      <w:r>
        <w:rPr>
          <w:rFonts w:ascii="Times New Roman" w:eastAsia="Times New Roman" w:hAnsi="Times New Roman" w:cs="Times New Roman"/>
        </w:rPr>
        <w:t xml:space="preserve">Independent Researcher </w:t>
      </w:r>
    </w:p>
    <w:p w14:paraId="120D8F0B" w14:textId="77777777" w:rsidR="003934E1" w:rsidRDefault="00000000">
      <w:pPr>
        <w:widowControl w:val="0"/>
        <w:spacing w:before="510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Author’s Note </w:t>
      </w:r>
    </w:p>
    <w:p w14:paraId="2D355889" w14:textId="77777777" w:rsidR="003934E1" w:rsidRDefault="00000000">
      <w:pPr>
        <w:widowControl w:val="0"/>
        <w:spacing w:before="236" w:line="343" w:lineRule="auto"/>
        <w:ind w:left="676" w:right="56" w:hanging="7"/>
        <w:rPr>
          <w:rFonts w:ascii="Times New Roman" w:eastAsia="Times New Roman" w:hAnsi="Times New Roman" w:cs="Times New Roman"/>
        </w:rPr>
      </w:pPr>
      <w:r>
        <w:rPr>
          <w:rFonts w:ascii="Times New Roman" w:eastAsia="Times New Roman" w:hAnsi="Times New Roman" w:cs="Times New Roman"/>
        </w:rPr>
        <w:t xml:space="preserve">Anubhuti Agnes Bara is an independent researcher. She holds a PhD. from the Centre for Historical Studies, Jawaharlal Nehru University, New Delhi, India. </w:t>
      </w:r>
    </w:p>
    <w:p w14:paraId="72925ACE" w14:textId="77777777" w:rsidR="003934E1" w:rsidRDefault="00000000">
      <w:pPr>
        <w:widowControl w:val="0"/>
        <w:spacing w:before="31"/>
        <w:ind w:left="736"/>
        <w:rPr>
          <w:rFonts w:ascii="Times New Roman" w:eastAsia="Times New Roman" w:hAnsi="Times New Roman" w:cs="Times New Roman"/>
        </w:rPr>
      </w:pPr>
      <w:r>
        <w:rPr>
          <w:rFonts w:ascii="Times New Roman" w:eastAsia="Times New Roman" w:hAnsi="Times New Roman" w:cs="Times New Roman"/>
        </w:rPr>
        <w:t xml:space="preserve">Competing interests: None. </w:t>
      </w:r>
    </w:p>
    <w:p w14:paraId="73B28546" w14:textId="77777777" w:rsidR="003934E1" w:rsidRDefault="00000000">
      <w:pPr>
        <w:widowControl w:val="0"/>
        <w:spacing w:before="132" w:line="344" w:lineRule="auto"/>
        <w:ind w:left="727" w:right="-5" w:firstLine="2"/>
        <w:jc w:val="both"/>
        <w:rPr>
          <w:rFonts w:ascii="Times New Roman" w:eastAsia="Times New Roman" w:hAnsi="Times New Roman" w:cs="Times New Roman"/>
        </w:rPr>
      </w:pPr>
      <w:r>
        <w:rPr>
          <w:rFonts w:ascii="Times New Roman" w:eastAsia="Times New Roman" w:hAnsi="Times New Roman" w:cs="Times New Roman"/>
        </w:rPr>
        <w:t xml:space="preserve">Author’s declaration on plagiarism and AI usage: The author affirms that this work is a  purely original. All sources have been appropriately cited. No AI tools were used during  the course of writing this research paper. An originality report, from one the most  reliable engines, has been attached herewith. Any resemblance with other works is  purely coincidental. </w:t>
      </w:r>
    </w:p>
    <w:p w14:paraId="22AFB29C" w14:textId="77777777" w:rsidR="003934E1" w:rsidRDefault="00000000">
      <w:pPr>
        <w:widowControl w:val="0"/>
        <w:spacing w:before="27"/>
        <w:ind w:left="732"/>
        <w:rPr>
          <w:rFonts w:ascii="Times New Roman" w:eastAsia="Times New Roman" w:hAnsi="Times New Roman" w:cs="Times New Roman"/>
        </w:rPr>
      </w:pPr>
      <w:r>
        <w:rPr>
          <w:rFonts w:ascii="Times New Roman" w:eastAsia="Times New Roman" w:hAnsi="Times New Roman" w:cs="Times New Roman"/>
        </w:rPr>
        <w:t xml:space="preserve">Email ID: </w:t>
      </w:r>
      <w:r>
        <w:rPr>
          <w:rFonts w:ascii="Times New Roman" w:eastAsia="Times New Roman" w:hAnsi="Times New Roman" w:cs="Times New Roman"/>
          <w:color w:val="0563C1"/>
          <w:u w:val="single"/>
        </w:rPr>
        <w:t>anubhuti.agnes@gmail.com</w:t>
      </w:r>
      <w:r>
        <w:rPr>
          <w:rFonts w:ascii="Times New Roman" w:eastAsia="Times New Roman" w:hAnsi="Times New Roman" w:cs="Times New Roman"/>
        </w:rPr>
        <w:t xml:space="preserve">. </w:t>
      </w:r>
    </w:p>
    <w:p w14:paraId="4963DEF7" w14:textId="77777777" w:rsidR="003934E1" w:rsidRDefault="00000000">
      <w:pPr>
        <w:widowControl w:val="0"/>
        <w:ind w:right="55"/>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2 </w:t>
      </w:r>
    </w:p>
    <w:p w14:paraId="176D90D6"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615A12D2" w14:textId="77777777" w:rsidR="003934E1" w:rsidRDefault="00000000">
      <w:pPr>
        <w:widowControl w:val="0"/>
        <w:spacing w:before="579"/>
        <w:ind w:left="2381"/>
        <w:rPr>
          <w:rFonts w:ascii="Times New Roman" w:eastAsia="Times New Roman" w:hAnsi="Times New Roman" w:cs="Times New Roman"/>
          <w:b/>
          <w:sz w:val="28"/>
          <w:szCs w:val="28"/>
        </w:rPr>
      </w:pPr>
      <w:r>
        <w:rPr>
          <w:rFonts w:ascii="Times New Roman" w:eastAsia="Times New Roman" w:hAnsi="Times New Roman" w:cs="Times New Roman"/>
          <w:sz w:val="19"/>
          <w:szCs w:val="19"/>
        </w:rPr>
        <w:t xml:space="preserve"> </w:t>
      </w:r>
      <w:r>
        <w:rPr>
          <w:rFonts w:ascii="Times New Roman" w:eastAsia="Times New Roman" w:hAnsi="Times New Roman" w:cs="Times New Roman"/>
          <w:b/>
          <w:sz w:val="28"/>
          <w:szCs w:val="28"/>
        </w:rPr>
        <w:t xml:space="preserve">Abstract </w:t>
      </w:r>
    </w:p>
    <w:p w14:paraId="5790DB27" w14:textId="77777777" w:rsidR="003934E1" w:rsidRDefault="00000000">
      <w:pPr>
        <w:widowControl w:val="0"/>
        <w:spacing w:before="233" w:line="344" w:lineRule="auto"/>
        <w:ind w:left="7" w:right="25" w:firstLine="572"/>
        <w:jc w:val="both"/>
        <w:rPr>
          <w:rFonts w:ascii="Times New Roman" w:eastAsia="Times New Roman" w:hAnsi="Times New Roman" w:cs="Times New Roman"/>
        </w:rPr>
      </w:pPr>
      <w:r>
        <w:rPr>
          <w:rFonts w:ascii="Times New Roman" w:eastAsia="Times New Roman" w:hAnsi="Times New Roman" w:cs="Times New Roman"/>
        </w:rPr>
        <w:lastRenderedPageBreak/>
        <w:t xml:space="preserve">In the ever-expanding realm of Adivasi studies, an ingrained tendency to foreground  widespread Adivasi movements, most notably, the Birsa </w:t>
      </w:r>
      <w:proofErr w:type="spellStart"/>
      <w:r>
        <w:rPr>
          <w:rFonts w:ascii="Times New Roman" w:eastAsia="Times New Roman" w:hAnsi="Times New Roman" w:cs="Times New Roman"/>
          <w:i/>
        </w:rPr>
        <w:t>Ulgulan</w:t>
      </w:r>
      <w:proofErr w:type="spellEnd"/>
      <w:r>
        <w:rPr>
          <w:rFonts w:ascii="Times New Roman" w:eastAsia="Times New Roman" w:hAnsi="Times New Roman" w:cs="Times New Roman"/>
        </w:rPr>
        <w:t xml:space="preserve">, as intellectually  ‘fashionable’ and thematically ‘juicy.’ This selective preoccupation, however, often comes at  the expense of a more nuanced exploration of Adivasi self-perception, psyche, and agency.  Most historiographical works often straitjacket India’s Adivasi populace into static caricatures  of backwardness and primitiveness. The epistemic injustice wrought by the British colonialists  and Brahminical ideologues continues through time by sustaining colonial binaries that depict  Adivasis as savage ‘Others’ or habitual rebels. This paper aims to dismantle the distorted  representations written over time by discarding the archetypal construct of ‘tribe.’ It also seeks  to establish an Adivasi-centric historical narrative based on lived experiences, political  assertions, and cultural transformations. This essay journeys through the rugged terrains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Central Provinces, and the Santal Parganas to critically map how colonial racism,  throughout Free Trade Imperialism, repackaged the pre-existing caste-based prejudices, a  reframing process that led to the production of ‘sub-orientalist’ literature. Rather than  constitutive and concerted acts of anti-colonial assertions, the Adivasi uprisings were shelved  off as isolated, ‘sporadic’ events. The essay, therefore, demands an epistemological shift  towards a ‘decolonial praxis’ by ‘listening’ to the Adivasi voices within the archives and  beyond, and rewriting them as storytellers and thinkers, reasserting their agency and  reconfiguring their worlds. </w:t>
      </w:r>
    </w:p>
    <w:p w14:paraId="6B345157" w14:textId="77777777" w:rsidR="003934E1" w:rsidRDefault="00000000">
      <w:pPr>
        <w:widowControl w:val="0"/>
        <w:spacing w:before="267" w:line="345" w:lineRule="auto"/>
        <w:ind w:left="16" w:firstLine="551"/>
        <w:rPr>
          <w:rFonts w:ascii="Times New Roman" w:eastAsia="Times New Roman" w:hAnsi="Times New Roman" w:cs="Times New Roman"/>
        </w:rPr>
      </w:pPr>
      <w:r>
        <w:rPr>
          <w:rFonts w:ascii="Times New Roman" w:eastAsia="Times New Roman" w:hAnsi="Times New Roman" w:cs="Times New Roman"/>
          <w:i/>
        </w:rPr>
        <w:t xml:space="preserve">Keywords: </w:t>
      </w:r>
      <w:r>
        <w:rPr>
          <w:rFonts w:ascii="Times New Roman" w:eastAsia="Times New Roman" w:hAnsi="Times New Roman" w:cs="Times New Roman"/>
        </w:rPr>
        <w:t xml:space="preserve">Adivasi historiography, Decolonial epistemologies, Colonial racialism,  Central India, Sub-Orientalist ethnographies. </w:t>
      </w:r>
    </w:p>
    <w:p w14:paraId="51215F34" w14:textId="77777777" w:rsidR="003934E1" w:rsidRDefault="00000000">
      <w:pPr>
        <w:widowControl w:val="0"/>
        <w:spacing w:before="545"/>
        <w:ind w:left="7"/>
        <w:rPr>
          <w:rFonts w:ascii="Times New Roman" w:eastAsia="Times New Roman" w:hAnsi="Times New Roman" w:cs="Times New Roman"/>
        </w:rPr>
      </w:pPr>
      <w:r>
        <w:rPr>
          <w:rFonts w:ascii="Times New Roman" w:eastAsia="Times New Roman" w:hAnsi="Times New Roman" w:cs="Times New Roman"/>
        </w:rPr>
        <w:t xml:space="preserve">  </w:t>
      </w:r>
    </w:p>
    <w:p w14:paraId="084E3D9D" w14:textId="77777777" w:rsidR="003934E1" w:rsidRDefault="00000000">
      <w:pPr>
        <w:widowControl w:val="0"/>
        <w:ind w:left="1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Prologue: situating the context </w:t>
      </w:r>
    </w:p>
    <w:p w14:paraId="3C9E5CD8" w14:textId="77777777" w:rsidR="003934E1" w:rsidRDefault="00000000">
      <w:pPr>
        <w:widowControl w:val="0"/>
        <w:spacing w:before="236"/>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That fellow sitting there is either a monkey, then I am a man, or if he a  </w:t>
      </w:r>
    </w:p>
    <w:p w14:paraId="225C95C6" w14:textId="77777777" w:rsidR="003934E1" w:rsidRDefault="00000000">
      <w:pPr>
        <w:widowControl w:val="0"/>
        <w:ind w:left="1710"/>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man, and then I am a god (Hoffman and Emelen, n.d., p. 1117). </w:t>
      </w:r>
    </w:p>
    <w:p w14:paraId="54EA9576" w14:textId="77777777" w:rsidR="003934E1" w:rsidRDefault="00000000">
      <w:pPr>
        <w:widowControl w:val="0"/>
        <w:spacing w:before="228" w:line="230" w:lineRule="auto"/>
        <w:ind w:left="1709" w:right="12" w:firstLine="12"/>
        <w:jc w:val="both"/>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Stop playing the judge with us! You have come to this motherland of ours to earn your living  by sitting in judgment, and you have no notion of how it is to be done. Leave us alone: we  can manage ourselves! (Orea as cited in Van </w:t>
      </w:r>
      <w:proofErr w:type="spellStart"/>
      <w:r>
        <w:rPr>
          <w:rFonts w:ascii="Times New Roman" w:eastAsia="Times New Roman" w:hAnsi="Times New Roman" w:cs="Times New Roman"/>
          <w:sz w:val="19"/>
          <w:szCs w:val="19"/>
        </w:rPr>
        <w:t>Exem</w:t>
      </w:r>
      <w:proofErr w:type="spellEnd"/>
      <w:r>
        <w:rPr>
          <w:rFonts w:ascii="Times New Roman" w:eastAsia="Times New Roman" w:hAnsi="Times New Roman" w:cs="Times New Roman"/>
          <w:sz w:val="19"/>
          <w:szCs w:val="19"/>
        </w:rPr>
        <w:t xml:space="preserve">, 1994, p. 30). </w:t>
      </w:r>
    </w:p>
    <w:p w14:paraId="4674A31D" w14:textId="77777777" w:rsidR="003934E1" w:rsidRDefault="00000000">
      <w:pPr>
        <w:widowControl w:val="0"/>
        <w:spacing w:before="244" w:line="340" w:lineRule="auto"/>
        <w:ind w:left="7" w:right="-5" w:firstLine="15"/>
        <w:rPr>
          <w:rFonts w:ascii="Times New Roman" w:eastAsia="Times New Roman" w:hAnsi="Times New Roman" w:cs="Times New Roman"/>
        </w:rPr>
      </w:pPr>
      <w:r>
        <w:rPr>
          <w:rFonts w:ascii="Times New Roman" w:eastAsia="Times New Roman" w:hAnsi="Times New Roman" w:cs="Times New Roman"/>
        </w:rPr>
        <w:t xml:space="preserve">Such antithetical standpoints, the former being a dehumanised colonial depiction and the latter  an emphatic Adivasi avowal, reveal that history is an animated arena of complex ideological, power, and identity contestations, rather than a detached logbook of events </w:t>
      </w:r>
      <w:r>
        <w:rPr>
          <w:rFonts w:ascii="Times New Roman" w:eastAsia="Times New Roman" w:hAnsi="Times New Roman" w:cs="Times New Roman"/>
          <w:sz w:val="31"/>
          <w:szCs w:val="31"/>
        </w:rPr>
        <w:t>(</w:t>
      </w:r>
      <w:proofErr w:type="spellStart"/>
      <w:r>
        <w:rPr>
          <w:rFonts w:ascii="Times New Roman" w:eastAsia="Times New Roman" w:hAnsi="Times New Roman" w:cs="Times New Roman"/>
        </w:rPr>
        <w:t>Bentrovato</w:t>
      </w:r>
      <w:proofErr w:type="spellEnd"/>
      <w:r>
        <w:rPr>
          <w:rFonts w:ascii="Times New Roman" w:eastAsia="Times New Roman" w:hAnsi="Times New Roman" w:cs="Times New Roman"/>
        </w:rPr>
        <w:t xml:space="preserve">, 2017, </w:t>
      </w:r>
    </w:p>
    <w:p w14:paraId="03A261CF" w14:textId="77777777" w:rsidR="003934E1" w:rsidRDefault="00000000">
      <w:pPr>
        <w:widowControl w:val="0"/>
        <w:ind w:right="55"/>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3 </w:t>
      </w:r>
    </w:p>
    <w:p w14:paraId="078F069D"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14FD624B" w14:textId="77777777" w:rsidR="003934E1" w:rsidRDefault="00000000">
      <w:pPr>
        <w:widowControl w:val="0"/>
        <w:spacing w:before="579" w:line="341" w:lineRule="auto"/>
        <w:ind w:left="7" w:right="-6"/>
        <w:rPr>
          <w:rFonts w:ascii="Times New Roman" w:eastAsia="Times New Roman" w:hAnsi="Times New Roman" w:cs="Times New Roman"/>
        </w:rPr>
      </w:pPr>
      <w:r>
        <w:rPr>
          <w:rFonts w:ascii="Times New Roman" w:eastAsia="Times New Roman" w:hAnsi="Times New Roman" w:cs="Times New Roman"/>
        </w:rPr>
        <w:lastRenderedPageBreak/>
        <w:t xml:space="preserve">pp. 37-76). While the British colonialists attempted to overwrite Adivasi knowledge systems  with Eurocentric rationality, civility and modernity, the steadfast resistance of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Uraons</w:t>
      </w:r>
      <w:r>
        <w:rPr>
          <w:rFonts w:ascii="Times New Roman" w:eastAsia="Times New Roman" w:hAnsi="Times New Roman" w:cs="Times New Roman"/>
          <w:sz w:val="26"/>
          <w:szCs w:val="26"/>
          <w:vertAlign w:val="superscript"/>
        </w:rPr>
        <w:t>1</w:t>
      </w:r>
      <w:r>
        <w:rPr>
          <w:rFonts w:ascii="Times New Roman" w:eastAsia="Times New Roman" w:hAnsi="Times New Roman" w:cs="Times New Roman"/>
          <w:sz w:val="16"/>
          <w:szCs w:val="16"/>
        </w:rPr>
        <w:t xml:space="preserve"> </w:t>
      </w:r>
      <w:r>
        <w:rPr>
          <w:rFonts w:ascii="Times New Roman" w:eastAsia="Times New Roman" w:hAnsi="Times New Roman" w:cs="Times New Roman"/>
        </w:rPr>
        <w:t xml:space="preserve">and </w:t>
      </w:r>
      <w:proofErr w:type="spellStart"/>
      <w:r>
        <w:rPr>
          <w:rFonts w:ascii="Times New Roman" w:eastAsia="Times New Roman" w:hAnsi="Times New Roman" w:cs="Times New Roman"/>
        </w:rPr>
        <w:t>Santalis</w:t>
      </w:r>
      <w:proofErr w:type="spellEnd"/>
      <w:r>
        <w:rPr>
          <w:rFonts w:ascii="Times New Roman" w:eastAsia="Times New Roman" w:hAnsi="Times New Roman" w:cs="Times New Roman"/>
        </w:rPr>
        <w:t xml:space="preserve"> among other such groups, shorn of any written tradition, ‘consistently articulated’  Adivasi ‘opposition to the successive colonial policies’ that sought to ‘regiment the rebellious’  within the colonial project of ‘scheduling’ (A. Bara, 2024, pp. 6-19; A. Bara, 2018). This Adivasi-colonial encounter bolstered a dialogic ‘clash of cultures’ in the Adivasi-inhabited  tracts of Central and Eastern India (A. Bara, 2024, p. 9; Fagan, 1998, pp. 15-35; </w:t>
      </w:r>
      <w:proofErr w:type="spellStart"/>
      <w:r>
        <w:rPr>
          <w:rFonts w:ascii="Times New Roman" w:eastAsia="Times New Roman" w:hAnsi="Times New Roman" w:cs="Times New Roman"/>
        </w:rPr>
        <w:t>Irschick</w:t>
      </w:r>
      <w:proofErr w:type="spellEnd"/>
      <w:r>
        <w:rPr>
          <w:rFonts w:ascii="Times New Roman" w:eastAsia="Times New Roman" w:hAnsi="Times New Roman" w:cs="Times New Roman"/>
        </w:rPr>
        <w:t xml:space="preserve">, 1994,  p. 153). In this context, the imposition and universalisation of Western knowledge and caste based epistemes led to an organised marginalisation of the Adivasi agency. Adivasi heartlands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Central Provinces, and Santal Parganas make a compelling case in point  wherein such phenomena unfolded in some of the most conspicuous ways. These geographies  were not just maps of mineral-laden riches, but hubs of ‘systemic marginalisation’ of the  Adivasis (Bijoy, 2001, pp. 54-61). </w:t>
      </w:r>
    </w:p>
    <w:p w14:paraId="57B0A5FF" w14:textId="77777777" w:rsidR="003934E1" w:rsidRDefault="00000000">
      <w:pPr>
        <w:widowControl w:val="0"/>
        <w:spacing w:before="29" w:line="343" w:lineRule="auto"/>
        <w:ind w:left="9" w:right="-5" w:firstLine="567"/>
        <w:jc w:val="both"/>
        <w:rPr>
          <w:rFonts w:ascii="Times New Roman" w:eastAsia="Times New Roman" w:hAnsi="Times New Roman" w:cs="Times New Roman"/>
        </w:rPr>
      </w:pPr>
      <w:r>
        <w:rPr>
          <w:rFonts w:ascii="Times New Roman" w:eastAsia="Times New Roman" w:hAnsi="Times New Roman" w:cs="Times New Roman"/>
        </w:rPr>
        <w:t>With the onset and expansion of Free Trade Imperialism since the late 19th century, the  guise of paternal benevolence began to unravel, and the British cultural subjugation inscribed  itself in prejudiced, racialised narratives on the Adivasis (</w:t>
      </w:r>
      <w:proofErr w:type="spellStart"/>
      <w:r>
        <w:rPr>
          <w:rFonts w:ascii="Times New Roman" w:eastAsia="Times New Roman" w:hAnsi="Times New Roman" w:cs="Times New Roman"/>
        </w:rPr>
        <w:t>Dulhunty</w:t>
      </w:r>
      <w:proofErr w:type="spellEnd"/>
      <w:r>
        <w:rPr>
          <w:rFonts w:ascii="Times New Roman" w:eastAsia="Times New Roman" w:hAnsi="Times New Roman" w:cs="Times New Roman"/>
        </w:rPr>
        <w:t>, 2023). Colonial archives,  typified by voluminous ethnohistorical investigations, census records, memoirs and repertoires  of administrative officials, and missionary documents, speak volumes about the colonial  arrogance and epistemic violence on Adivasi ways of knowing. The chroniclers of the British  Empire in the central-eastern Adivasi belt conceptually vilified the Adivasi figure as  ‘primitive,’ ‘wild,’ ‘savage,’ or ‘criminal’ by refurbishing the pre-existing Brahminical  notions of Indian society, thus justifying an exploitative regime, territorial dispossession, and  extractive policies (J. Bara, 2009, pp. 90-93). Colonial archives, therefore, evolved as site of  epistemic violence wherein Indigenous</w:t>
      </w:r>
      <w:r>
        <w:rPr>
          <w:rFonts w:ascii="Times New Roman" w:eastAsia="Times New Roman" w:hAnsi="Times New Roman" w:cs="Times New Roman"/>
          <w:sz w:val="26"/>
          <w:szCs w:val="26"/>
          <w:vertAlign w:val="superscript"/>
        </w:rPr>
        <w:t>2</w:t>
      </w:r>
      <w:r>
        <w:rPr>
          <w:rFonts w:ascii="Times New Roman" w:eastAsia="Times New Roman" w:hAnsi="Times New Roman" w:cs="Times New Roman"/>
        </w:rPr>
        <w:t xml:space="preserve">voices were systematically silenced, distorted, or  erased while projecting the colonial regime as normative and rational.  </w:t>
      </w:r>
    </w:p>
    <w:p w14:paraId="2EDCFDCE" w14:textId="77777777" w:rsidR="003934E1" w:rsidRDefault="00000000">
      <w:pPr>
        <w:widowControl w:val="0"/>
        <w:spacing w:before="28" w:line="345" w:lineRule="auto"/>
        <w:ind w:left="7" w:right="-5" w:firstLine="567"/>
        <w:jc w:val="both"/>
        <w:rPr>
          <w:rFonts w:ascii="Times New Roman" w:eastAsia="Times New Roman" w:hAnsi="Times New Roman" w:cs="Times New Roman"/>
          <w:i/>
        </w:rPr>
      </w:pPr>
      <w:r>
        <w:rPr>
          <w:rFonts w:ascii="Times New Roman" w:eastAsia="Times New Roman" w:hAnsi="Times New Roman" w:cs="Times New Roman"/>
        </w:rPr>
        <w:t xml:space="preserve">Anything but overawed, Adivasis were no mute spectators to this epistemic  marginalisation. Several movements against the deprivation of their socio-cultural autonomy  centred around their lands, forests, and resources engendered myriad overt and covert  uprisings, including the violent and peaceful, ranging from the Santal </w:t>
      </w:r>
      <w:r>
        <w:rPr>
          <w:rFonts w:ascii="Times New Roman" w:eastAsia="Times New Roman" w:hAnsi="Times New Roman" w:cs="Times New Roman"/>
          <w:i/>
        </w:rPr>
        <w:t xml:space="preserve">Hul </w:t>
      </w:r>
      <w:r>
        <w:rPr>
          <w:rFonts w:ascii="Times New Roman" w:eastAsia="Times New Roman" w:hAnsi="Times New Roman" w:cs="Times New Roman"/>
        </w:rPr>
        <w:t xml:space="preserve">(1855), the </w:t>
      </w:r>
      <w:r>
        <w:rPr>
          <w:rFonts w:ascii="Times New Roman" w:eastAsia="Times New Roman" w:hAnsi="Times New Roman" w:cs="Times New Roman"/>
          <w:i/>
        </w:rPr>
        <w:t xml:space="preserve">Sardari </w:t>
      </w:r>
    </w:p>
    <w:p w14:paraId="6F019D54" w14:textId="77777777" w:rsidR="003934E1" w:rsidRDefault="00000000">
      <w:pPr>
        <w:widowControl w:val="0"/>
        <w:spacing w:before="27"/>
        <w:jc w:val="center"/>
        <w:rPr>
          <w:rFonts w:ascii="Times New Roman" w:eastAsia="Times New Roman" w:hAnsi="Times New Roman" w:cs="Times New Roman"/>
        </w:rPr>
      </w:pPr>
      <w:r>
        <w:rPr>
          <w:rFonts w:ascii="Times New Roman" w:eastAsia="Times New Roman" w:hAnsi="Times New Roman" w:cs="Times New Roman"/>
          <w:i/>
        </w:rPr>
        <w:t xml:space="preserve">Larai </w:t>
      </w:r>
      <w:r>
        <w:rPr>
          <w:rFonts w:ascii="Times New Roman" w:eastAsia="Times New Roman" w:hAnsi="Times New Roman" w:cs="Times New Roman"/>
        </w:rPr>
        <w:t xml:space="preserve">and the </w:t>
      </w:r>
      <w:proofErr w:type="spellStart"/>
      <w:r>
        <w:rPr>
          <w:rFonts w:ascii="Times New Roman" w:eastAsia="Times New Roman" w:hAnsi="Times New Roman" w:cs="Times New Roman"/>
          <w:i/>
        </w:rPr>
        <w:t>Kherwar</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Movement (1858-1895) to the Birsa </w:t>
      </w:r>
      <w:proofErr w:type="spellStart"/>
      <w:r>
        <w:rPr>
          <w:rFonts w:ascii="Times New Roman" w:eastAsia="Times New Roman" w:hAnsi="Times New Roman" w:cs="Times New Roman"/>
          <w:i/>
        </w:rPr>
        <w:t>Ulgulan</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(1895-1900). Each  </w:t>
      </w:r>
    </w:p>
    <w:p w14:paraId="2BFD8306" w14:textId="77777777" w:rsidR="003934E1" w:rsidRDefault="00000000">
      <w:pPr>
        <w:widowControl w:val="0"/>
        <w:spacing w:before="464"/>
        <w:ind w:left="7"/>
        <w:rPr>
          <w:rFonts w:ascii="Times New Roman" w:eastAsia="Times New Roman" w:hAnsi="Times New Roman" w:cs="Times New Roman"/>
          <w:strike/>
        </w:rPr>
      </w:pPr>
      <w:r>
        <w:rPr>
          <w:rFonts w:ascii="Times New Roman" w:eastAsia="Times New Roman" w:hAnsi="Times New Roman" w:cs="Times New Roman"/>
          <w:strike/>
        </w:rPr>
        <w:t xml:space="preserve">  </w:t>
      </w:r>
    </w:p>
    <w:p w14:paraId="3798390C" w14:textId="77777777" w:rsidR="003934E1" w:rsidRDefault="00000000">
      <w:pPr>
        <w:widowControl w:val="0"/>
        <w:spacing w:line="231" w:lineRule="auto"/>
        <w:ind w:left="8" w:right="12" w:firstLine="13"/>
        <w:rPr>
          <w:rFonts w:ascii="Times New Roman" w:eastAsia="Times New Roman" w:hAnsi="Times New Roman" w:cs="Times New Roman"/>
          <w:sz w:val="19"/>
          <w:szCs w:val="19"/>
        </w:rPr>
      </w:pPr>
      <w:r>
        <w:rPr>
          <w:rFonts w:ascii="Times New Roman" w:eastAsia="Times New Roman" w:hAnsi="Times New Roman" w:cs="Times New Roman"/>
          <w:sz w:val="21"/>
          <w:szCs w:val="21"/>
          <w:vertAlign w:val="superscript"/>
        </w:rPr>
        <w:t>1</w:t>
      </w:r>
      <w:r>
        <w:rPr>
          <w:rFonts w:ascii="Times New Roman" w:eastAsia="Times New Roman" w:hAnsi="Times New Roman" w:cs="Times New Roman"/>
          <w:sz w:val="19"/>
          <w:szCs w:val="19"/>
        </w:rPr>
        <w:t>In her earlier works, the author has erroneously spelt ‘</w:t>
      </w:r>
      <w:proofErr w:type="spellStart"/>
      <w:r>
        <w:rPr>
          <w:rFonts w:ascii="Times New Roman" w:eastAsia="Times New Roman" w:hAnsi="Times New Roman" w:cs="Times New Roman"/>
          <w:sz w:val="19"/>
          <w:szCs w:val="19"/>
        </w:rPr>
        <w:t>Uraons</w:t>
      </w:r>
      <w:proofErr w:type="spellEnd"/>
      <w:r>
        <w:rPr>
          <w:rFonts w:ascii="Times New Roman" w:eastAsia="Times New Roman" w:hAnsi="Times New Roman" w:cs="Times New Roman"/>
          <w:sz w:val="19"/>
          <w:szCs w:val="19"/>
        </w:rPr>
        <w:t>’ as ‘</w:t>
      </w:r>
      <w:proofErr w:type="spellStart"/>
      <w:r>
        <w:rPr>
          <w:rFonts w:ascii="Times New Roman" w:eastAsia="Times New Roman" w:hAnsi="Times New Roman" w:cs="Times New Roman"/>
          <w:sz w:val="19"/>
          <w:szCs w:val="19"/>
        </w:rPr>
        <w:t>Oraons</w:t>
      </w:r>
      <w:proofErr w:type="spellEnd"/>
      <w:r>
        <w:rPr>
          <w:rFonts w:ascii="Times New Roman" w:eastAsia="Times New Roman" w:hAnsi="Times New Roman" w:cs="Times New Roman"/>
          <w:sz w:val="19"/>
          <w:szCs w:val="19"/>
        </w:rPr>
        <w:t xml:space="preserve">.’ Since the misspelt version is a skewed  representation of the Brahminical narrative, the author acknowledges the correction. </w:t>
      </w:r>
    </w:p>
    <w:p w14:paraId="65D16037" w14:textId="77777777" w:rsidR="003934E1" w:rsidRDefault="00000000">
      <w:pPr>
        <w:widowControl w:val="0"/>
        <w:spacing w:before="5"/>
        <w:jc w:val="center"/>
        <w:rPr>
          <w:rFonts w:ascii="Times New Roman" w:eastAsia="Times New Roman" w:hAnsi="Times New Roman" w:cs="Times New Roman"/>
          <w:sz w:val="19"/>
          <w:szCs w:val="19"/>
        </w:rPr>
      </w:pPr>
      <w:r>
        <w:rPr>
          <w:rFonts w:ascii="Times New Roman" w:eastAsia="Times New Roman" w:hAnsi="Times New Roman" w:cs="Times New Roman"/>
          <w:sz w:val="21"/>
          <w:szCs w:val="21"/>
          <w:vertAlign w:val="superscript"/>
        </w:rPr>
        <w:t>2</w:t>
      </w:r>
      <w:r>
        <w:rPr>
          <w:rFonts w:ascii="Times New Roman" w:eastAsia="Times New Roman" w:hAnsi="Times New Roman" w:cs="Times New Roman"/>
          <w:sz w:val="19"/>
          <w:szCs w:val="19"/>
        </w:rPr>
        <w:t>‘Adivasi’ and ‘Indigenous’ are used interchangeably considering the aspirations of Adivasis as original settlers.</w:t>
      </w:r>
    </w:p>
    <w:p w14:paraId="2C651C89" w14:textId="77777777" w:rsidR="003934E1" w:rsidRDefault="00000000">
      <w:pPr>
        <w:widowControl w:val="0"/>
        <w:ind w:right="55"/>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4 </w:t>
      </w:r>
    </w:p>
    <w:p w14:paraId="3E048597"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4E85D92E" w14:textId="77777777" w:rsidR="003934E1" w:rsidRDefault="00000000">
      <w:pPr>
        <w:widowControl w:val="0"/>
        <w:spacing w:before="579" w:line="344" w:lineRule="auto"/>
        <w:ind w:left="7" w:right="-6" w:hanging="1"/>
        <w:jc w:val="both"/>
        <w:rPr>
          <w:rFonts w:ascii="Times New Roman" w:eastAsia="Times New Roman" w:hAnsi="Times New Roman" w:cs="Times New Roman"/>
        </w:rPr>
      </w:pPr>
      <w:r>
        <w:rPr>
          <w:rFonts w:ascii="Times New Roman" w:eastAsia="Times New Roman" w:hAnsi="Times New Roman" w:cs="Times New Roman"/>
        </w:rPr>
        <w:lastRenderedPageBreak/>
        <w:t xml:space="preserve">uprising testified as a point of resistance to being incorporated within the colonial script of  civilisation and modernity. Amidst such robust avowal, Adivasis posed as ‘living documents’  of their unique ways of life through their folklore, songs, petitions, and ‘communitarian  knowledge and belief systems’ (Hembrom, 2022, 1466). Given such complexities, this paper </w:t>
      </w:r>
    </w:p>
    <w:p w14:paraId="7FE9A60E" w14:textId="77777777" w:rsidR="003934E1" w:rsidRDefault="00000000">
      <w:pPr>
        <w:widowControl w:val="0"/>
        <w:spacing w:before="30" w:line="344" w:lineRule="auto"/>
        <w:ind w:left="7" w:right="-4" w:firstLine="9"/>
        <w:jc w:val="both"/>
        <w:rPr>
          <w:rFonts w:ascii="Times New Roman" w:eastAsia="Times New Roman" w:hAnsi="Times New Roman" w:cs="Times New Roman"/>
        </w:rPr>
      </w:pPr>
      <w:r>
        <w:rPr>
          <w:rFonts w:ascii="Times New Roman" w:eastAsia="Times New Roman" w:hAnsi="Times New Roman" w:cs="Times New Roman"/>
        </w:rPr>
        <w:t xml:space="preserve">explores a thread of inquiry: What qualifies as legitimate knowledge? Who has the right to  produce knowledge? And how do alternative counter-narratives of the marginalised question  the dominant discourses get shaped? It delves into these filaments of history through a critical  engagement with hegemonic discourses while analysing power dynamics and unearthing the  hitherto shrouded Adivasi self-perceptions and voices from the archives.  </w:t>
      </w:r>
    </w:p>
    <w:p w14:paraId="419459F4" w14:textId="77777777" w:rsidR="003934E1" w:rsidRDefault="00000000">
      <w:pPr>
        <w:widowControl w:val="0"/>
        <w:spacing w:before="27" w:line="344" w:lineRule="auto"/>
        <w:ind w:left="7" w:right="-6" w:firstLine="570"/>
        <w:jc w:val="both"/>
        <w:rPr>
          <w:rFonts w:ascii="Times New Roman" w:eastAsia="Times New Roman" w:hAnsi="Times New Roman" w:cs="Times New Roman"/>
        </w:rPr>
      </w:pPr>
      <w:r>
        <w:rPr>
          <w:rFonts w:ascii="Times New Roman" w:eastAsia="Times New Roman" w:hAnsi="Times New Roman" w:cs="Times New Roman"/>
        </w:rPr>
        <w:t xml:space="preserve">Dialogical Adivasi-Imperial interface and the dissemination of the dominant knowledge  systems within the milieu of Free Trade Imperialism stand as critical sites of inquiry. The  present study specifically maps the intricacies of the Adivasi-colonial cultural interface that  sturdily commenced in the period roughly around 1850, when British suzerainty in the Indian  subcontinent became indisputable, and extends to 1908, when the fierce </w:t>
      </w:r>
      <w:proofErr w:type="spellStart"/>
      <w:r>
        <w:rPr>
          <w:rFonts w:ascii="Times New Roman" w:eastAsia="Times New Roman" w:hAnsi="Times New Roman" w:cs="Times New Roman"/>
          <w:i/>
        </w:rPr>
        <w:t>Ulgulan</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led by Birsa  Munda. It is steered by several key hypotheses. First, that colonial epistemologies deliberately  framed Adivasi communities through racialised myths to justify Imperial control. Second, how  racialised colonial myths continue to inform academic writings on the Adivasi questions,  highlighting the urgency of an epistemic reclamation in contemporary scholarship. Third, that  the dynamic Adivasi resistance itself constituted forms of knowledge production, articulating  autonomy beyond colonial frameworks. And finally, recovering Adivasi voices from colonial  archives and unconventional sources can foster a decolonised understanding of history. </w:t>
      </w:r>
    </w:p>
    <w:p w14:paraId="734BAAA6" w14:textId="77777777" w:rsidR="003934E1" w:rsidRDefault="00000000">
      <w:pPr>
        <w:widowControl w:val="0"/>
        <w:spacing w:before="442"/>
        <w:ind w:left="18"/>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Charting new vignettes in Adivasi studies </w:t>
      </w:r>
    </w:p>
    <w:p w14:paraId="38DE874F" w14:textId="77777777" w:rsidR="003934E1" w:rsidRDefault="00000000">
      <w:pPr>
        <w:widowControl w:val="0"/>
        <w:spacing w:before="234" w:line="344" w:lineRule="auto"/>
        <w:ind w:left="7" w:right="-4" w:firstLine="570"/>
        <w:jc w:val="both"/>
        <w:rPr>
          <w:rFonts w:ascii="Times New Roman" w:eastAsia="Times New Roman" w:hAnsi="Times New Roman" w:cs="Times New Roman"/>
        </w:rPr>
      </w:pPr>
      <w:r>
        <w:rPr>
          <w:rFonts w:ascii="Times New Roman" w:eastAsia="Times New Roman" w:hAnsi="Times New Roman" w:cs="Times New Roman"/>
        </w:rPr>
        <w:t xml:space="preserve">Much of conventional historiography appears to have endorsed the colonial legacy of  epistemic erasure, occluding Adivasi agency. This necessitates an interdisciplinary dissection  of these grand narratives across the academic spectrum. The present section scrutinises how  such trends transmuted into epistemic erasure of Adivasi voices from their own histories. Since  the pre-independence years, profuse writings fetishised the colonial binaries of myth and  history, savage and civilised, protectionism and assimilationism, reiterating Western and  Brahminical ‘archaic constructs’ (Elwin, 1943; J. Bara, 2009, p. 90). It witnessed a surge of  treatises based on colonial racial typologies, accentuating ecological romanticism and cultural  preservation. Buoying a stance of Adivasi backwardness and primitiveness, such perspectives  occasioned isolationist standpoints and enabled the proliferation of the controversial ‘national </w:t>
      </w:r>
    </w:p>
    <w:p w14:paraId="4BF9B5D8" w14:textId="77777777" w:rsidR="003934E1" w:rsidRDefault="00000000">
      <w:pPr>
        <w:widowControl w:val="0"/>
        <w:ind w:right="55"/>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5 </w:t>
      </w:r>
    </w:p>
    <w:p w14:paraId="45C1F8A2"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3D6C3E89" w14:textId="77777777" w:rsidR="003934E1" w:rsidRDefault="00000000">
      <w:pPr>
        <w:widowControl w:val="0"/>
        <w:spacing w:before="579" w:line="344" w:lineRule="auto"/>
        <w:ind w:left="7" w:right="-5" w:hanging="2"/>
        <w:jc w:val="both"/>
        <w:rPr>
          <w:rFonts w:ascii="Times New Roman" w:eastAsia="Times New Roman" w:hAnsi="Times New Roman" w:cs="Times New Roman"/>
        </w:rPr>
      </w:pPr>
      <w:r>
        <w:rPr>
          <w:rFonts w:ascii="Times New Roman" w:eastAsia="Times New Roman" w:hAnsi="Times New Roman" w:cs="Times New Roman"/>
        </w:rPr>
        <w:lastRenderedPageBreak/>
        <w:t xml:space="preserve">parks’ theory, reinforcing the colonial myth of ‘noble savage’ (Elwin, 1943; Elwin, 1957, p.  123; Rapp, 2024). Grotesque material ramifications of such intellectual trends reverberate in  the present-day institutionalised modes of ethno-tourism in Jarawa areas of India’s Andaman  and Nicobar Islands.  </w:t>
      </w:r>
    </w:p>
    <w:p w14:paraId="7CA7E5E2" w14:textId="77777777" w:rsidR="003934E1" w:rsidRDefault="00000000">
      <w:pPr>
        <w:widowControl w:val="0"/>
        <w:spacing w:before="30" w:line="344" w:lineRule="auto"/>
        <w:ind w:left="7" w:right="-5" w:firstLine="573"/>
        <w:jc w:val="both"/>
        <w:rPr>
          <w:rFonts w:ascii="Times New Roman" w:eastAsia="Times New Roman" w:hAnsi="Times New Roman" w:cs="Times New Roman"/>
        </w:rPr>
      </w:pPr>
      <w:r>
        <w:rPr>
          <w:rFonts w:ascii="Times New Roman" w:eastAsia="Times New Roman" w:hAnsi="Times New Roman" w:cs="Times New Roman"/>
        </w:rPr>
        <w:t>Through classificatory and preservationist models that revelled in signifiers such as  ‘Naked Nagas’ and ‘primitive,’ these narratives not only reiterated colonial prejudices but also  dehumanised Adivasi communities, projecting them as objects of anthropological spectacle  instead of living agents of history (</w:t>
      </w:r>
      <w:proofErr w:type="spellStart"/>
      <w:r>
        <w:rPr>
          <w:rFonts w:ascii="Times New Roman" w:eastAsia="Times New Roman" w:hAnsi="Times New Roman" w:cs="Times New Roman"/>
        </w:rPr>
        <w:t>Fürer-Haimendorf</w:t>
      </w:r>
      <w:proofErr w:type="spellEnd"/>
      <w:r>
        <w:rPr>
          <w:rFonts w:ascii="Times New Roman" w:eastAsia="Times New Roman" w:hAnsi="Times New Roman" w:cs="Times New Roman"/>
        </w:rPr>
        <w:t xml:space="preserve">, 1939; </w:t>
      </w:r>
      <w:proofErr w:type="spellStart"/>
      <w:r>
        <w:rPr>
          <w:rFonts w:ascii="Times New Roman" w:eastAsia="Times New Roman" w:hAnsi="Times New Roman" w:cs="Times New Roman"/>
        </w:rPr>
        <w:t>Fürer-Haimendorf</w:t>
      </w:r>
      <w:proofErr w:type="spellEnd"/>
      <w:r>
        <w:rPr>
          <w:rFonts w:ascii="Times New Roman" w:eastAsia="Times New Roman" w:hAnsi="Times New Roman" w:cs="Times New Roman"/>
        </w:rPr>
        <w:t>, 1982). In a  way, they replicate the orientalist gaze, thereby objectifying and essentialising the ‘Other’ for  metropolitan consumption (Said, 1978). Such theorisations, profoundly embedded in the  Eurocentric conceptualisations of race and civilisation, increasingly found expression in what  Kwame Nkrumah described as ‘ideological infiltrations’ of neocolonialism (Nkrumah, 1965,  p. 239). Hereafter, a proliferation of warped Adivasi histories, rooted in colonial and caste  nomenclatures, commenced. Seminal monographs, despite their significant contributions,  blurred the distinctions between caste, ‘tribe,’ and race without clearly defining these  categories, recreating the very essentialisms their works aimed to deconstruct (ibid.; Bates,  1995; Cohn, 1996; Robb, 1995). These intellectual investigations ‘</w:t>
      </w:r>
      <w:proofErr w:type="spellStart"/>
      <w:r>
        <w:rPr>
          <w:rFonts w:ascii="Times New Roman" w:eastAsia="Times New Roman" w:hAnsi="Times New Roman" w:cs="Times New Roman"/>
        </w:rPr>
        <w:t>biologis</w:t>
      </w:r>
      <w:proofErr w:type="spellEnd"/>
      <w:r>
        <w:rPr>
          <w:rFonts w:ascii="Times New Roman" w:eastAsia="Times New Roman" w:hAnsi="Times New Roman" w:cs="Times New Roman"/>
        </w:rPr>
        <w:t xml:space="preserve">[ed]’ race, relegating  Adivasis to the position of ‘dregs’ in the civilisational ladder (Bhukya, 2008).  </w:t>
      </w:r>
    </w:p>
    <w:p w14:paraId="502B0051" w14:textId="77777777" w:rsidR="003934E1" w:rsidRDefault="00000000">
      <w:pPr>
        <w:widowControl w:val="0"/>
        <w:spacing w:before="30" w:line="344" w:lineRule="auto"/>
        <w:ind w:left="7" w:right="-5" w:firstLine="568"/>
        <w:jc w:val="both"/>
        <w:rPr>
          <w:rFonts w:ascii="Times New Roman" w:eastAsia="Times New Roman" w:hAnsi="Times New Roman" w:cs="Times New Roman"/>
        </w:rPr>
      </w:pPr>
      <w:r>
        <w:rPr>
          <w:rFonts w:ascii="Times New Roman" w:eastAsia="Times New Roman" w:hAnsi="Times New Roman" w:cs="Times New Roman"/>
        </w:rPr>
        <w:t>Accordingly, subsequent intellectual endeavours traced the conceptual birth of the Indian  ‘tribe’ in British colonialism, authoring a wretched and passive Adivasi. (Dirks 2001: 3-18;  Devalle, 1992, p. 32; Skaria, 1997, pp. 726-745; Guha, 1999). Adhering to the conformist  notion of ‘tribe’ as a colonial construct of the ‘tribe,’ they inferred a precolonial condition of  ‘permeability of the boundary between tribe and non-tribe’ (</w:t>
      </w:r>
      <w:proofErr w:type="spellStart"/>
      <w:r>
        <w:rPr>
          <w:rFonts w:ascii="Times New Roman" w:eastAsia="Times New Roman" w:hAnsi="Times New Roman" w:cs="Times New Roman"/>
        </w:rPr>
        <w:t>Béteille</w:t>
      </w:r>
      <w:proofErr w:type="spellEnd"/>
      <w:r>
        <w:rPr>
          <w:rFonts w:ascii="Times New Roman" w:eastAsia="Times New Roman" w:hAnsi="Times New Roman" w:cs="Times New Roman"/>
        </w:rPr>
        <w:t xml:space="preserve">, 1986, pp. 297-318;  </w:t>
      </w:r>
      <w:proofErr w:type="spellStart"/>
      <w:r>
        <w:rPr>
          <w:rFonts w:ascii="Times New Roman" w:eastAsia="Times New Roman" w:hAnsi="Times New Roman" w:cs="Times New Roman"/>
        </w:rPr>
        <w:t>Béteille</w:t>
      </w:r>
      <w:proofErr w:type="spellEnd"/>
      <w:r>
        <w:rPr>
          <w:rFonts w:ascii="Times New Roman" w:eastAsia="Times New Roman" w:hAnsi="Times New Roman" w:cs="Times New Roman"/>
        </w:rPr>
        <w:t>, 1991, p. 76; Srinivas, 1976, p. 15). Categorising Adivasi societies as ‘backward  Hindus,’ such works diminished their experiential realities into a travesty of ‘Hindu caste  backwardness,’ stripping them of any cultural agency (</w:t>
      </w:r>
      <w:proofErr w:type="spellStart"/>
      <w:r>
        <w:rPr>
          <w:rFonts w:ascii="Times New Roman" w:eastAsia="Times New Roman" w:hAnsi="Times New Roman" w:cs="Times New Roman"/>
        </w:rPr>
        <w:t>Baviskar</w:t>
      </w:r>
      <w:proofErr w:type="spellEnd"/>
      <w:r>
        <w:rPr>
          <w:rFonts w:ascii="Times New Roman" w:eastAsia="Times New Roman" w:hAnsi="Times New Roman" w:cs="Times New Roman"/>
        </w:rPr>
        <w:t xml:space="preserve"> 2005: 213; </w:t>
      </w:r>
      <w:proofErr w:type="spellStart"/>
      <w:r>
        <w:rPr>
          <w:rFonts w:ascii="Times New Roman" w:eastAsia="Times New Roman" w:hAnsi="Times New Roman" w:cs="Times New Roman"/>
        </w:rPr>
        <w:t>Ghurye</w:t>
      </w:r>
      <w:proofErr w:type="spellEnd"/>
      <w:r>
        <w:rPr>
          <w:rFonts w:ascii="Times New Roman" w:eastAsia="Times New Roman" w:hAnsi="Times New Roman" w:cs="Times New Roman"/>
        </w:rPr>
        <w:t xml:space="preserve"> 1943: 21).  Relying on the theory of the ‘Hindu method of tribal absorption,’ they situated the phenomenon  of Adivasi assimilation within the nature of the caste-based economy and division of labour  (Bose, 1941, p. 188). Even distinguished </w:t>
      </w:r>
      <w:proofErr w:type="spellStart"/>
      <w:r>
        <w:rPr>
          <w:rFonts w:ascii="Times New Roman" w:eastAsia="Times New Roman" w:hAnsi="Times New Roman" w:cs="Times New Roman"/>
        </w:rPr>
        <w:t>anthro</w:t>
      </w:r>
      <w:proofErr w:type="spellEnd"/>
      <w:r>
        <w:rPr>
          <w:rFonts w:ascii="Times New Roman" w:eastAsia="Times New Roman" w:hAnsi="Times New Roman" w:cs="Times New Roman"/>
        </w:rPr>
        <w:t xml:space="preserve">-historical endeavours normalised a unilinear  evolutionary model of ‘tribes’ by framing mobility largely as progression from ‘primitive’ to  ‘advanced’ societies, obscuring how Adivasi groups actively negotiated, appropriated, or  resisted external influences based on their agency (Singh, 1979, p. 100).  </w:t>
      </w:r>
    </w:p>
    <w:p w14:paraId="1CB80EF3" w14:textId="77777777" w:rsidR="003934E1" w:rsidRDefault="00000000">
      <w:pPr>
        <w:widowControl w:val="0"/>
        <w:spacing w:before="30" w:line="343" w:lineRule="auto"/>
        <w:ind w:left="9" w:right="-5" w:firstLine="573"/>
        <w:rPr>
          <w:rFonts w:ascii="Times New Roman" w:eastAsia="Times New Roman" w:hAnsi="Times New Roman" w:cs="Times New Roman"/>
        </w:rPr>
      </w:pPr>
      <w:r>
        <w:rPr>
          <w:rFonts w:ascii="Times New Roman" w:eastAsia="Times New Roman" w:hAnsi="Times New Roman" w:cs="Times New Roman"/>
        </w:rPr>
        <w:t xml:space="preserve">Concurrently, the Marxist and Subaltern schools catalysed such formulations within the  watertight categories of class and peasantry, grounding their research on the ‘tribe-caste-class </w:t>
      </w:r>
    </w:p>
    <w:p w14:paraId="5C224CDA" w14:textId="77777777" w:rsidR="003934E1" w:rsidRDefault="00000000">
      <w:pPr>
        <w:widowControl w:val="0"/>
        <w:ind w:right="55"/>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6 </w:t>
      </w:r>
    </w:p>
    <w:p w14:paraId="2AEB3976"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lastRenderedPageBreak/>
        <w:t xml:space="preserve">EPISTEMOLOGIES OF REBELLION </w:t>
      </w:r>
    </w:p>
    <w:p w14:paraId="1D083DC9" w14:textId="77777777" w:rsidR="003934E1" w:rsidRDefault="00000000">
      <w:pPr>
        <w:widowControl w:val="0"/>
        <w:spacing w:before="579" w:line="344" w:lineRule="auto"/>
        <w:ind w:left="4" w:right="-6" w:firstLine="11"/>
        <w:jc w:val="both"/>
        <w:rPr>
          <w:rFonts w:ascii="Times New Roman" w:eastAsia="Times New Roman" w:hAnsi="Times New Roman" w:cs="Times New Roman"/>
        </w:rPr>
      </w:pPr>
      <w:r>
        <w:rPr>
          <w:rFonts w:ascii="Times New Roman" w:eastAsia="Times New Roman" w:hAnsi="Times New Roman" w:cs="Times New Roman"/>
        </w:rPr>
        <w:t xml:space="preserve">continuum’ where class became the sole axis of their arguments (Guha 1983: 263; Miri 1993;  Nathan 1997; S. Sarkar 2003: 45; Singh 1979). What was, however, invariably missed to be  appreciated was a host of hurdles encountered by various Adivasi communities on the road to  such ‘upward mobility’ from their perspective (Forsyth, 1889, p. 10; J. Bara, 2022, pp. 1-23).  While rightly pointing out the significance of subaltern uprisings, they often ‘bracketed out’  the ‘distinct patterns’ of Adivasi agency and protest (A. Bara, 2024, p. 2; </w:t>
      </w: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xml:space="preserve">, 1999, p. 70).  The realms of anthropology, ethnography, history, and sociology, thus, worked hand-in-glove  to ink despicable imageries of the Adivasis and their rebellions. Influential, pathbreaking works  theorised Adivasi insurgencies as ‘sporadic, isolated and spontaneous,’ a consequence of  ‘external stimuli’ from the missionaries and nationalist leaders like Mahatma Gandhi (J. Bara,  2022, p. 10; Singh 1979, p. 91). This reductionist stance entirely disregarded the localised  subtleties, while ideating that Adivasi movements were incapable of any meaningful thrust of  their own.  </w:t>
      </w:r>
    </w:p>
    <w:p w14:paraId="6036FA4B" w14:textId="77777777" w:rsidR="003934E1" w:rsidRDefault="00000000">
      <w:pPr>
        <w:widowControl w:val="0"/>
        <w:spacing w:before="27" w:line="344" w:lineRule="auto"/>
        <w:ind w:left="9" w:right="-5" w:firstLine="572"/>
        <w:jc w:val="both"/>
        <w:rPr>
          <w:rFonts w:ascii="Times New Roman" w:eastAsia="Times New Roman" w:hAnsi="Times New Roman" w:cs="Times New Roman"/>
        </w:rPr>
      </w:pPr>
      <w:r>
        <w:rPr>
          <w:rFonts w:ascii="Times New Roman" w:eastAsia="Times New Roman" w:hAnsi="Times New Roman" w:cs="Times New Roman"/>
        </w:rPr>
        <w:t>These narratives boxed Adivasis as ‘sullen’ and submissive victims of colonial  subjugation, ignoring the presence of a dynamic Adivasi agency and psyche (Jha, 1987, p. 269). In tandem, recent discourses, though seemingly progressive, often write off the Adivasi  insurgencies as a merely ‘extortionist’ exercise, negating their inherently anti-colonialist nature  (Chandra, 2016; Shah, 2014). Even the well-documented, highly acclaimed historical writings,  give preference to well-established research methodologies over Adivasi lived realities and  their struggles for self-determination (Banerjee 2016; Dasgupta 2018; Dasgupta, 2022, p. 47;  Sarkar 2011; Tewari 2017; Tewari 2022). Such theorisations often evade pertinent questions of  marginalisation and discrimination while remaining fixated on definitions and terminologies,  subtly contributing to a glaring epistemic erasure of Adivasi voices in intellectual discourses  (S. Das Gupta, 2011, p. 5). They tend to push aside oral traditions, indigenous hermeneutics,  ‘archaeological and ethnographic continuities,’ echoing larger trends of epistemic erasure,  while giving preference to the colonial/state archives (</w:t>
      </w:r>
      <w:proofErr w:type="spellStart"/>
      <w:r>
        <w:rPr>
          <w:rFonts w:ascii="Times New Roman" w:eastAsia="Times New Roman" w:hAnsi="Times New Roman" w:cs="Times New Roman"/>
        </w:rPr>
        <w:t>Ratnagar</w:t>
      </w:r>
      <w:proofErr w:type="spellEnd"/>
      <w:r>
        <w:rPr>
          <w:rFonts w:ascii="Times New Roman" w:eastAsia="Times New Roman" w:hAnsi="Times New Roman" w:cs="Times New Roman"/>
        </w:rPr>
        <w:t xml:space="preserve">, 2010, pp. 5-6, 22-24; Santos  2018: 86). How this denial works in the material world can be seen in the documented cases of  institutional discrimination in India’s premier research institutions (HLC Report, 2014; Thorat  Committee Report, 2007).  </w:t>
      </w:r>
    </w:p>
    <w:p w14:paraId="382D0AE1" w14:textId="77777777" w:rsidR="003934E1" w:rsidRDefault="00000000">
      <w:pPr>
        <w:widowControl w:val="0"/>
        <w:spacing w:before="27" w:line="344" w:lineRule="auto"/>
        <w:ind w:left="9" w:right="-4"/>
        <w:jc w:val="right"/>
        <w:rPr>
          <w:rFonts w:ascii="Times New Roman" w:eastAsia="Times New Roman" w:hAnsi="Times New Roman" w:cs="Times New Roman"/>
        </w:rPr>
      </w:pPr>
      <w:r>
        <w:rPr>
          <w:rFonts w:ascii="Times New Roman" w:eastAsia="Times New Roman" w:hAnsi="Times New Roman" w:cs="Times New Roman"/>
        </w:rPr>
        <w:t xml:space="preserve">Historian Shereen </w:t>
      </w:r>
      <w:proofErr w:type="spellStart"/>
      <w:r>
        <w:rPr>
          <w:rFonts w:ascii="Times New Roman" w:eastAsia="Times New Roman" w:hAnsi="Times New Roman" w:cs="Times New Roman"/>
        </w:rPr>
        <w:t>Ratnagar</w:t>
      </w:r>
      <w:proofErr w:type="spellEnd"/>
      <w:r>
        <w:rPr>
          <w:rFonts w:ascii="Times New Roman" w:eastAsia="Times New Roman" w:hAnsi="Times New Roman" w:cs="Times New Roman"/>
        </w:rPr>
        <w:t xml:space="preserve"> remarks, ‘If everything tribal is merely a colonial construct,  one is left wondering what explains the cultural coherence, the value systems, and the </w:t>
      </w:r>
      <w:proofErr w:type="spellStart"/>
      <w:r>
        <w:rPr>
          <w:rFonts w:ascii="Times New Roman" w:eastAsia="Times New Roman" w:hAnsi="Times New Roman" w:cs="Times New Roman"/>
        </w:rPr>
        <w:t>self recognition</w:t>
      </w:r>
      <w:proofErr w:type="spellEnd"/>
      <w:r>
        <w:rPr>
          <w:rFonts w:ascii="Times New Roman" w:eastAsia="Times New Roman" w:hAnsi="Times New Roman" w:cs="Times New Roman"/>
        </w:rPr>
        <w:t xml:space="preserve"> that tribal groups continue to express today’ ( </w:t>
      </w:r>
      <w:proofErr w:type="spellStart"/>
      <w:r>
        <w:rPr>
          <w:rFonts w:ascii="Times New Roman" w:eastAsia="Times New Roman" w:hAnsi="Times New Roman" w:cs="Times New Roman"/>
        </w:rPr>
        <w:t>Ratnagar</w:t>
      </w:r>
      <w:proofErr w:type="spellEnd"/>
      <w:r>
        <w:rPr>
          <w:rFonts w:ascii="Times New Roman" w:eastAsia="Times New Roman" w:hAnsi="Times New Roman" w:cs="Times New Roman"/>
        </w:rPr>
        <w:t xml:space="preserve">, 2010, p. 2). The paucity of  methodological reflexivity or cognisance of this crucial interpretive shift threatens not </w:t>
      </w:r>
      <w:r>
        <w:rPr>
          <w:rFonts w:ascii="Times New Roman" w:eastAsia="Times New Roman" w:hAnsi="Times New Roman" w:cs="Times New Roman"/>
        </w:rPr>
        <w:lastRenderedPageBreak/>
        <w:t xml:space="preserve">only the  integrity of his subsequent stance but also, in retrospect, disavows silences and absence of </w:t>
      </w:r>
    </w:p>
    <w:p w14:paraId="33072857" w14:textId="77777777" w:rsidR="003934E1" w:rsidRDefault="00000000">
      <w:pPr>
        <w:widowControl w:val="0"/>
        <w:ind w:right="55"/>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7 </w:t>
      </w:r>
    </w:p>
    <w:p w14:paraId="34A359D6"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79BA4479" w14:textId="77777777" w:rsidR="003934E1" w:rsidRDefault="00000000">
      <w:pPr>
        <w:widowControl w:val="0"/>
        <w:spacing w:before="579" w:line="341" w:lineRule="auto"/>
        <w:ind w:left="9" w:right="-5" w:hanging="1"/>
        <w:jc w:val="both"/>
        <w:rPr>
          <w:rFonts w:ascii="Times New Roman" w:eastAsia="Times New Roman" w:hAnsi="Times New Roman" w:cs="Times New Roman"/>
        </w:rPr>
      </w:pPr>
      <w:r>
        <w:rPr>
          <w:rFonts w:ascii="Times New Roman" w:eastAsia="Times New Roman" w:hAnsi="Times New Roman" w:cs="Times New Roman"/>
        </w:rPr>
        <w:t>Adivasi voices intrinsic to his original consideration of the Adivasi issue (Tewari, 2017; Tewari, 2022). For instance, Saagar Tewari’s 2022 focus on Adivasi agency marks a welcome  intervention in the historiography of Indian constitutionalism; but his reluctance to interrogate  or revise the epistemological boundaries of his 2017 project raises much scepticism (ibid.).  Furthermore, such works erode the historicity of ‘scheduling’ by superfluously conceptualising  it as a novel afterthought, rather than an enduring apparatus of colonial statecraft of  ‘regimenting the rebellious;’ a process inextricably intertwined with the series of rebellions that  dotted the colonial regime in central India since the late 18</w:t>
      </w:r>
      <w:r>
        <w:rPr>
          <w:rFonts w:ascii="Times New Roman" w:eastAsia="Times New Roman" w:hAnsi="Times New Roman" w:cs="Times New Roman"/>
          <w:sz w:val="26"/>
          <w:szCs w:val="26"/>
          <w:vertAlign w:val="superscript"/>
        </w:rPr>
        <w:t xml:space="preserve">th </w:t>
      </w:r>
      <w:r>
        <w:rPr>
          <w:rFonts w:ascii="Times New Roman" w:eastAsia="Times New Roman" w:hAnsi="Times New Roman" w:cs="Times New Roman"/>
        </w:rPr>
        <w:t>and early 19</w:t>
      </w:r>
      <w:r>
        <w:rPr>
          <w:rFonts w:ascii="Times New Roman" w:eastAsia="Times New Roman" w:hAnsi="Times New Roman" w:cs="Times New Roman"/>
          <w:sz w:val="26"/>
          <w:szCs w:val="26"/>
          <w:vertAlign w:val="superscript"/>
        </w:rPr>
        <w:t xml:space="preserve">th </w:t>
      </w:r>
      <w:r>
        <w:rPr>
          <w:rFonts w:ascii="Times New Roman" w:eastAsia="Times New Roman" w:hAnsi="Times New Roman" w:cs="Times New Roman"/>
        </w:rPr>
        <w:t xml:space="preserve">centuries (A. Bara, </w:t>
      </w:r>
    </w:p>
    <w:p w14:paraId="79E1DF13" w14:textId="77777777" w:rsidR="003934E1" w:rsidRDefault="00000000">
      <w:pPr>
        <w:widowControl w:val="0"/>
        <w:spacing w:before="34" w:line="344" w:lineRule="auto"/>
        <w:ind w:left="7" w:right="-5" w:firstLine="5"/>
        <w:jc w:val="both"/>
        <w:rPr>
          <w:rFonts w:ascii="Times New Roman" w:eastAsia="Times New Roman" w:hAnsi="Times New Roman" w:cs="Times New Roman"/>
        </w:rPr>
      </w:pPr>
      <w:r>
        <w:rPr>
          <w:rFonts w:ascii="Times New Roman" w:eastAsia="Times New Roman" w:hAnsi="Times New Roman" w:cs="Times New Roman"/>
        </w:rPr>
        <w:t xml:space="preserve">2018; A. Bara, 2024, p. 1). They override the few rare works, which trace the evolution of  ‘scheduling’ to the early nineteenth century, especially since the 1830s, with the advent of  policies such as ‘Non-Regulation’ (1833), a ‘precursor’ to ‘subsequent colonial interventions’  (ibid., pp. 37-62; ibid, pp. 14).  </w:t>
      </w:r>
    </w:p>
    <w:p w14:paraId="6937C52D" w14:textId="77777777" w:rsidR="003934E1" w:rsidRDefault="00000000">
      <w:pPr>
        <w:widowControl w:val="0"/>
        <w:spacing w:before="30" w:line="341" w:lineRule="auto"/>
        <w:ind w:left="7" w:right="-5" w:firstLine="573"/>
        <w:jc w:val="both"/>
        <w:rPr>
          <w:rFonts w:ascii="Times New Roman" w:eastAsia="Times New Roman" w:hAnsi="Times New Roman" w:cs="Times New Roman"/>
        </w:rPr>
      </w:pPr>
      <w:r>
        <w:rPr>
          <w:rFonts w:ascii="Times New Roman" w:eastAsia="Times New Roman" w:hAnsi="Times New Roman" w:cs="Times New Roman"/>
        </w:rPr>
        <w:t>This reflects the continuous marginalisation of the few yet valuable voices of Adivasi  intellectuals, especially on issues of political subjectivity and self-determination. Scholarly  gatekeeping of what qualifies as ‘legitimate’ Adivasi history epitomises a subtle form of  epistemic silencing reminiscent of its European variant (Banerjee, 2016; Dasgupta, 2018;  Sarkar, 2011). This exhibits an ingrained proclivity to buttress the idea that Adivasi scholars  and activists are inherently opposed to non-Adivasi versions of history. The objective of this  paper is not to belittle one methodology over the other, as some academics would argue  (Dasgupta, 2018). On the contrary, the present paper hovers around the cruciality of a  decolonial approach towards Adivasi historiography, synthesising archival investigations with  oral narratives and Adivasi epistemes. Though academic engagements with this concept of  decoloniality can be traced back to the second half of the 20</w:t>
      </w:r>
      <w:r>
        <w:rPr>
          <w:rFonts w:ascii="Times New Roman" w:eastAsia="Times New Roman" w:hAnsi="Times New Roman" w:cs="Times New Roman"/>
          <w:sz w:val="26"/>
          <w:szCs w:val="26"/>
          <w:vertAlign w:val="superscript"/>
        </w:rPr>
        <w:t xml:space="preserve">th </w:t>
      </w:r>
      <w:r>
        <w:rPr>
          <w:rFonts w:ascii="Times New Roman" w:eastAsia="Times New Roman" w:hAnsi="Times New Roman" w:cs="Times New Roman"/>
        </w:rPr>
        <w:t xml:space="preserve">century, there has been barely  any effort in this regard, except for a few rare texts (Bhukya, 2008, p. 108; Fanon, 1963, pp.  35-95; </w:t>
      </w:r>
      <w:proofErr w:type="spellStart"/>
      <w:r>
        <w:rPr>
          <w:rFonts w:ascii="Times New Roman" w:eastAsia="Times New Roman" w:hAnsi="Times New Roman" w:cs="Times New Roman"/>
        </w:rPr>
        <w:t>Mignolo</w:t>
      </w:r>
      <w:proofErr w:type="spellEnd"/>
      <w:r>
        <w:rPr>
          <w:rFonts w:ascii="Times New Roman" w:eastAsia="Times New Roman" w:hAnsi="Times New Roman" w:cs="Times New Roman"/>
        </w:rPr>
        <w:t xml:space="preserve"> and Walsh, 2018; </w:t>
      </w:r>
      <w:proofErr w:type="spellStart"/>
      <w:r>
        <w:rPr>
          <w:rFonts w:ascii="Times New Roman" w:eastAsia="Times New Roman" w:hAnsi="Times New Roman" w:cs="Times New Roman"/>
        </w:rPr>
        <w:t>Mignolo</w:t>
      </w:r>
      <w:proofErr w:type="spellEnd"/>
      <w:r>
        <w:rPr>
          <w:rFonts w:ascii="Times New Roman" w:eastAsia="Times New Roman" w:hAnsi="Times New Roman" w:cs="Times New Roman"/>
        </w:rPr>
        <w:t xml:space="preserve">, 2021). Though some recent writings touch upon  ‘de-coloniality’ as a ‘reflexive and transformative method,’ they somehow remain tethered to  rigid colonial paradigms that marginalise the central question of dispossession and dissonance  (S. Dasgupta; 2018).  </w:t>
      </w:r>
    </w:p>
    <w:p w14:paraId="1B943122" w14:textId="77777777" w:rsidR="003934E1" w:rsidRDefault="00000000">
      <w:pPr>
        <w:widowControl w:val="0"/>
        <w:spacing w:before="32" w:line="344" w:lineRule="auto"/>
        <w:ind w:left="7" w:right="-4" w:firstLine="568"/>
        <w:jc w:val="both"/>
        <w:rPr>
          <w:rFonts w:ascii="Times New Roman" w:eastAsia="Times New Roman" w:hAnsi="Times New Roman" w:cs="Times New Roman"/>
        </w:rPr>
      </w:pPr>
      <w:r>
        <w:rPr>
          <w:rFonts w:ascii="Times New Roman" w:eastAsia="Times New Roman" w:hAnsi="Times New Roman" w:cs="Times New Roman"/>
        </w:rPr>
        <w:t xml:space="preserve">Yet, a plethora of contemporaneous researches by non-Adivasi academics  </w:t>
      </w:r>
      <w:r>
        <w:rPr>
          <w:rFonts w:ascii="Times New Roman" w:eastAsia="Times New Roman" w:hAnsi="Times New Roman" w:cs="Times New Roman"/>
        </w:rPr>
        <w:lastRenderedPageBreak/>
        <w:t xml:space="preserve">reconceptualised the Adivasi societies in a more favourable light, encapsulating material  realities of long-drawn dispossession and ways in which they remoulded their own modernities  (Andersen et. al., 2011; </w:t>
      </w:r>
      <w:proofErr w:type="spellStart"/>
      <w:r>
        <w:rPr>
          <w:rFonts w:ascii="Times New Roman" w:eastAsia="Times New Roman" w:hAnsi="Times New Roman" w:cs="Times New Roman"/>
        </w:rPr>
        <w:t>Baviskar</w:t>
      </w:r>
      <w:proofErr w:type="spellEnd"/>
      <w:r>
        <w:rPr>
          <w:rFonts w:ascii="Times New Roman" w:eastAsia="Times New Roman" w:hAnsi="Times New Roman" w:cs="Times New Roman"/>
        </w:rPr>
        <w:t xml:space="preserve">, 2005; Bhukya, 2008; S. Das Gupta, 2011; Mahto, 2023; Padel  and Das, 2010; Pati, 2011; </w:t>
      </w:r>
      <w:proofErr w:type="spellStart"/>
      <w:r>
        <w:rPr>
          <w:rFonts w:ascii="Times New Roman" w:eastAsia="Times New Roman" w:hAnsi="Times New Roman" w:cs="Times New Roman"/>
        </w:rPr>
        <w:t>Ratnagar</w:t>
      </w:r>
      <w:proofErr w:type="spellEnd"/>
      <w:r>
        <w:rPr>
          <w:rFonts w:ascii="Times New Roman" w:eastAsia="Times New Roman" w:hAnsi="Times New Roman" w:cs="Times New Roman"/>
        </w:rPr>
        <w:t xml:space="preserve">, 2010; Stanley, 2022). These works resonate with the  perspectives of Adivasi scholars who highlight that ‘Adivasi response’ to the colonial </w:t>
      </w:r>
    </w:p>
    <w:p w14:paraId="1F2D9A67" w14:textId="77777777" w:rsidR="003934E1" w:rsidRDefault="00000000">
      <w:pPr>
        <w:widowControl w:val="0"/>
        <w:ind w:right="55"/>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8 </w:t>
      </w:r>
    </w:p>
    <w:p w14:paraId="33892BF9"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3068BF08" w14:textId="77777777" w:rsidR="003934E1" w:rsidRDefault="00000000">
      <w:pPr>
        <w:widowControl w:val="0"/>
        <w:spacing w:before="579" w:line="344" w:lineRule="auto"/>
        <w:ind w:left="9" w:right="-5" w:firstLine="6"/>
        <w:jc w:val="both"/>
        <w:rPr>
          <w:rFonts w:ascii="Times New Roman" w:eastAsia="Times New Roman" w:hAnsi="Times New Roman" w:cs="Times New Roman"/>
        </w:rPr>
      </w:pPr>
      <w:r>
        <w:rPr>
          <w:rFonts w:ascii="Times New Roman" w:eastAsia="Times New Roman" w:hAnsi="Times New Roman" w:cs="Times New Roman"/>
        </w:rPr>
        <w:t xml:space="preserve">oppression was ‘neither silent nor subdued,’ and their resistance was rooted in their ‘vibrant  cultural ethos’ (Hembrom, 2022; J. Bara, 2009; </w:t>
      </w: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xml:space="preserve">, 1999). In this regard, historical research  requires what </w:t>
      </w:r>
      <w:proofErr w:type="spellStart"/>
      <w:r>
        <w:rPr>
          <w:rFonts w:ascii="Times New Roman" w:eastAsia="Times New Roman" w:hAnsi="Times New Roman" w:cs="Times New Roman"/>
        </w:rPr>
        <w:t>Mignolo</w:t>
      </w:r>
      <w:proofErr w:type="spellEnd"/>
      <w:r>
        <w:rPr>
          <w:rFonts w:ascii="Times New Roman" w:eastAsia="Times New Roman" w:hAnsi="Times New Roman" w:cs="Times New Roman"/>
        </w:rPr>
        <w:t xml:space="preserve"> calls ‘delinking’ from the colonial mentality to pen down a more inclusive and humanised past of Adivasi societies as opposed to the dominant forms of Imperial  and Brahminical epistemologies (</w:t>
      </w:r>
      <w:proofErr w:type="spellStart"/>
      <w:r>
        <w:rPr>
          <w:rFonts w:ascii="Times New Roman" w:eastAsia="Times New Roman" w:hAnsi="Times New Roman" w:cs="Times New Roman"/>
        </w:rPr>
        <w:t>Mignolo</w:t>
      </w:r>
      <w:proofErr w:type="spellEnd"/>
      <w:r>
        <w:rPr>
          <w:rFonts w:ascii="Times New Roman" w:eastAsia="Times New Roman" w:hAnsi="Times New Roman" w:cs="Times New Roman"/>
        </w:rPr>
        <w:t xml:space="preserve">, 2021; Nkrumah, 1965). Hence, the vitalness of  ‘listening’ to the hitherto marginalised Adivasi voices in the archives alongside oral traditions </w:t>
      </w:r>
    </w:p>
    <w:p w14:paraId="3D756C00" w14:textId="77777777" w:rsidR="003934E1" w:rsidRDefault="00000000">
      <w:pPr>
        <w:widowControl w:val="0"/>
        <w:spacing w:before="30" w:line="334" w:lineRule="auto"/>
        <w:ind w:left="12" w:right="-5" w:hanging="5"/>
        <w:jc w:val="both"/>
        <w:rPr>
          <w:rFonts w:ascii="Times New Roman" w:eastAsia="Times New Roman" w:hAnsi="Times New Roman" w:cs="Times New Roman"/>
        </w:rPr>
      </w:pPr>
      <w:r>
        <w:rPr>
          <w:rFonts w:ascii="Times New Roman" w:eastAsia="Times New Roman" w:hAnsi="Times New Roman" w:cs="Times New Roman"/>
        </w:rPr>
        <w:t>becomes crucial within historiographical investigations on Adivasi questions (Chakraborty,  2025; S. Das Gupta, 2011, p. 5). To make room for Adivasi-centric discourses, a thorough  scrutiny of the rise and ossification of the hegemonic colonial epistemes leading to the  dehumanisation of Adivasi identities in the second half of the 19</w:t>
      </w:r>
      <w:r>
        <w:rPr>
          <w:rFonts w:ascii="Times New Roman" w:eastAsia="Times New Roman" w:hAnsi="Times New Roman" w:cs="Times New Roman"/>
          <w:sz w:val="26"/>
          <w:szCs w:val="26"/>
          <w:vertAlign w:val="superscript"/>
        </w:rPr>
        <w:t xml:space="preserve">th </w:t>
      </w:r>
      <w:r>
        <w:rPr>
          <w:rFonts w:ascii="Times New Roman" w:eastAsia="Times New Roman" w:hAnsi="Times New Roman" w:cs="Times New Roman"/>
        </w:rPr>
        <w:t xml:space="preserve">century, becomes  indispensable.  </w:t>
      </w:r>
    </w:p>
    <w:p w14:paraId="5CBD0A86" w14:textId="77777777" w:rsidR="003934E1" w:rsidRDefault="00000000">
      <w:pPr>
        <w:widowControl w:val="0"/>
        <w:spacing w:before="310" w:line="344" w:lineRule="auto"/>
        <w:ind w:left="7" w:right="-5"/>
        <w:jc w:val="center"/>
        <w:rPr>
          <w:rFonts w:ascii="Times New Roman" w:eastAsia="Times New Roman" w:hAnsi="Times New Roman" w:cs="Times New Roman"/>
        </w:rPr>
      </w:pPr>
      <w:proofErr w:type="spellStart"/>
      <w:r>
        <w:rPr>
          <w:rFonts w:ascii="Times New Roman" w:eastAsia="Times New Roman" w:hAnsi="Times New Roman" w:cs="Times New Roman"/>
          <w:b/>
          <w:sz w:val="28"/>
          <w:szCs w:val="28"/>
        </w:rPr>
        <w:t>Racialising</w:t>
      </w:r>
      <w:proofErr w:type="spellEnd"/>
      <w:r>
        <w:rPr>
          <w:rFonts w:ascii="Times New Roman" w:eastAsia="Times New Roman" w:hAnsi="Times New Roman" w:cs="Times New Roman"/>
          <w:b/>
          <w:sz w:val="28"/>
          <w:szCs w:val="28"/>
        </w:rPr>
        <w:t xml:space="preserve"> Resistance: of misadministration, myths, and misnomers </w:t>
      </w:r>
      <w:r>
        <w:rPr>
          <w:rFonts w:ascii="Times New Roman" w:eastAsia="Times New Roman" w:hAnsi="Times New Roman" w:cs="Times New Roman"/>
        </w:rPr>
        <w:t xml:space="preserve">The notion of ‘tribe’ sprouted in the precolonial is a definitive outcome of the  Brahminical construction. This unabridged episode of epistemic ‘superimposition’ was  innately linked to the relentless migrations of plainsmen into Adivasi heartlands since the  precolonial times. Emanating from a record-based tradition of the Indo-Gangetic plains, this  brigade of inbound settlers, such as the </w:t>
      </w:r>
      <w:r>
        <w:rPr>
          <w:rFonts w:ascii="Times New Roman" w:eastAsia="Times New Roman" w:hAnsi="Times New Roman" w:cs="Times New Roman"/>
          <w:i/>
        </w:rPr>
        <w:t>zamindars</w:t>
      </w:r>
      <w:r>
        <w:rPr>
          <w:rFonts w:ascii="Times New Roman" w:eastAsia="Times New Roman" w:hAnsi="Times New Roman" w:cs="Times New Roman"/>
        </w:rPr>
        <w:t xml:space="preserve">, </w:t>
      </w:r>
      <w:proofErr w:type="spellStart"/>
      <w:r>
        <w:rPr>
          <w:rFonts w:ascii="Times New Roman" w:eastAsia="Times New Roman" w:hAnsi="Times New Roman" w:cs="Times New Roman"/>
          <w:i/>
        </w:rPr>
        <w:t>mahajans</w:t>
      </w:r>
      <w:proofErr w:type="spellEnd"/>
      <w:r>
        <w:rPr>
          <w:rFonts w:ascii="Times New Roman" w:eastAsia="Times New Roman" w:hAnsi="Times New Roman" w:cs="Times New Roman"/>
        </w:rPr>
        <w:t xml:space="preserve">, revenue officials, moneylenders,  and the court </w:t>
      </w:r>
      <w:r>
        <w:rPr>
          <w:rFonts w:ascii="Times New Roman" w:eastAsia="Times New Roman" w:hAnsi="Times New Roman" w:cs="Times New Roman"/>
          <w:i/>
        </w:rPr>
        <w:t>amlas</w:t>
      </w:r>
      <w:r>
        <w:rPr>
          <w:rFonts w:ascii="Times New Roman" w:eastAsia="Times New Roman" w:hAnsi="Times New Roman" w:cs="Times New Roman"/>
        </w:rPr>
        <w:t xml:space="preserve">, deceitfully expropriated Adivasi </w:t>
      </w:r>
      <w:proofErr w:type="spellStart"/>
      <w:r>
        <w:rPr>
          <w:rFonts w:ascii="Times New Roman" w:eastAsia="Times New Roman" w:hAnsi="Times New Roman" w:cs="Times New Roman"/>
          <w:i/>
        </w:rPr>
        <w:t>bhuinharis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(landholdings). This heralded  a wave of internal colonialism, ratified by a nexus of rapacious landlords, the ruling elite and  the so-called upper echelons of the caste hierarchies, way ahead of the British incursions (Padel  1995, pp. 12, 109; Padel and Das, 2010</w:t>
      </w:r>
      <w:r>
        <w:rPr>
          <w:rFonts w:ascii="Times New Roman" w:eastAsia="Times New Roman" w:hAnsi="Times New Roman" w:cs="Times New Roman"/>
          <w:sz w:val="19"/>
          <w:szCs w:val="19"/>
        </w:rPr>
        <w:t xml:space="preserve">). </w:t>
      </w:r>
      <w:r>
        <w:rPr>
          <w:rFonts w:ascii="Times New Roman" w:eastAsia="Times New Roman" w:hAnsi="Times New Roman" w:cs="Times New Roman"/>
        </w:rPr>
        <w:t>Conditioned by the imperatives of cultural  subjugation, the literary tradition of the ‘Aryan invaders’ prized the very act of ‘nickname[</w:t>
      </w:r>
      <w:proofErr w:type="spellStart"/>
      <w:r>
        <w:rPr>
          <w:rFonts w:ascii="Times New Roman" w:eastAsia="Times New Roman" w:hAnsi="Times New Roman" w:cs="Times New Roman"/>
        </w:rPr>
        <w:t>ing</w:t>
      </w:r>
      <w:proofErr w:type="spellEnd"/>
      <w:r>
        <w:rPr>
          <w:rFonts w:ascii="Times New Roman" w:eastAsia="Times New Roman" w:hAnsi="Times New Roman" w:cs="Times New Roman"/>
        </w:rPr>
        <w:t xml:space="preserve">]’  the resisting Adivasis, constituting a nascent embodiment of epistemic violence; later endorsed  by their British masters (Grignard, 1909, p. 7). Therefore, material suppression of the Adivasis occurred alongside an epistemic one. With an assortment of scribes and brahmins at their ready  disposal, the </w:t>
      </w:r>
      <w:proofErr w:type="spellStart"/>
      <w:r>
        <w:rPr>
          <w:rFonts w:ascii="Times New Roman" w:eastAsia="Times New Roman" w:hAnsi="Times New Roman" w:cs="Times New Roman"/>
          <w:i/>
        </w:rPr>
        <w:t>Nagabansi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rajas entrusted them with the task of tailoring ‘eulogies of superiority’  and fabricating vilified illustrations of the subject </w:t>
      </w:r>
      <w:r>
        <w:rPr>
          <w:rFonts w:ascii="Times New Roman" w:eastAsia="Times New Roman" w:hAnsi="Times New Roman" w:cs="Times New Roman"/>
        </w:rPr>
        <w:lastRenderedPageBreak/>
        <w:t xml:space="preserve">Adivasi masses (J. Bara, 2009, p. 91).  Brahmins, subsequently, evolved as the ‘ambassador[s]’ of the new version of ‘Sanskritic  culture’ in the Adivasi tracts (Anonymous, 1869, p. 140). Conversely, the Adivasis were  visualised and imagined as the ‘natural antithesis of the Brahmins’ (Bates, 1995, p. 234). As  part of this cultural ‘superimposition,’ the caste-based epistemes mythologised Adivasi  semantics (J. Bara, 2022, p. 33). In a desperate attempt to overpower and displace the  antagonistic Adivasi inhabitants, the emigrants created popular myths suggesting that the </w:t>
      </w:r>
    </w:p>
    <w:p w14:paraId="5B499E4E" w14:textId="77777777" w:rsidR="003934E1" w:rsidRDefault="00000000">
      <w:pPr>
        <w:widowControl w:val="0"/>
        <w:ind w:right="55"/>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9 </w:t>
      </w:r>
    </w:p>
    <w:p w14:paraId="324AF832"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01205230" w14:textId="77777777" w:rsidR="003934E1" w:rsidRDefault="00000000">
      <w:pPr>
        <w:widowControl w:val="0"/>
        <w:spacing w:before="579" w:line="344" w:lineRule="auto"/>
        <w:ind w:left="7" w:right="-5" w:firstLine="9"/>
        <w:jc w:val="both"/>
        <w:rPr>
          <w:rFonts w:ascii="Times New Roman" w:eastAsia="Times New Roman" w:hAnsi="Times New Roman" w:cs="Times New Roman"/>
          <w:i/>
        </w:rPr>
      </w:pPr>
      <w:r>
        <w:rPr>
          <w:rFonts w:ascii="Times New Roman" w:eastAsia="Times New Roman" w:hAnsi="Times New Roman" w:cs="Times New Roman"/>
        </w:rPr>
        <w:t xml:space="preserve">former were nothing more than ‘hostile demons and snakes’ (Forsyth, 1889, p. 5). The  expansive woodlands of the Central Provinces, called </w:t>
      </w:r>
      <w:r>
        <w:rPr>
          <w:rFonts w:ascii="Times New Roman" w:eastAsia="Times New Roman" w:hAnsi="Times New Roman" w:cs="Times New Roman"/>
          <w:i/>
        </w:rPr>
        <w:t>Dandakaranya</w:t>
      </w:r>
      <w:r>
        <w:rPr>
          <w:rFonts w:ascii="Times New Roman" w:eastAsia="Times New Roman" w:hAnsi="Times New Roman" w:cs="Times New Roman"/>
        </w:rPr>
        <w:t xml:space="preserve">, became a major theatre  of myth-making by the Brahminical forces, ‘falsifying all history’ of the region (Dalton, 1866,  pp. 193-194). Interestingly, within the Hindu canonical compositions, namely the </w:t>
      </w:r>
      <w:r>
        <w:rPr>
          <w:rFonts w:ascii="Times New Roman" w:eastAsia="Times New Roman" w:hAnsi="Times New Roman" w:cs="Times New Roman"/>
          <w:i/>
        </w:rPr>
        <w:t xml:space="preserve">Valmiki </w:t>
      </w:r>
    </w:p>
    <w:p w14:paraId="4FFD9B82" w14:textId="77777777" w:rsidR="003934E1" w:rsidRDefault="00000000">
      <w:pPr>
        <w:widowControl w:val="0"/>
        <w:spacing w:before="30" w:line="344" w:lineRule="auto"/>
        <w:ind w:left="2" w:right="-5" w:hanging="6"/>
        <w:jc w:val="both"/>
        <w:rPr>
          <w:rFonts w:ascii="Times New Roman" w:eastAsia="Times New Roman" w:hAnsi="Times New Roman" w:cs="Times New Roman"/>
        </w:rPr>
      </w:pPr>
      <w:r>
        <w:rPr>
          <w:rFonts w:ascii="Times New Roman" w:eastAsia="Times New Roman" w:hAnsi="Times New Roman" w:cs="Times New Roman"/>
          <w:i/>
        </w:rPr>
        <w:t>Ramayana</w:t>
      </w:r>
      <w:r>
        <w:rPr>
          <w:rFonts w:ascii="Times New Roman" w:eastAsia="Times New Roman" w:hAnsi="Times New Roman" w:cs="Times New Roman"/>
        </w:rPr>
        <w:t xml:space="preserve">, </w:t>
      </w:r>
      <w:r>
        <w:rPr>
          <w:rFonts w:ascii="Times New Roman" w:eastAsia="Times New Roman" w:hAnsi="Times New Roman" w:cs="Times New Roman"/>
          <w:i/>
        </w:rPr>
        <w:t>Mahabharata</w:t>
      </w:r>
      <w:r>
        <w:rPr>
          <w:rFonts w:ascii="Times New Roman" w:eastAsia="Times New Roman" w:hAnsi="Times New Roman" w:cs="Times New Roman"/>
        </w:rPr>
        <w:t xml:space="preserve">, and </w:t>
      </w:r>
      <w:proofErr w:type="spellStart"/>
      <w:r>
        <w:rPr>
          <w:rFonts w:ascii="Times New Roman" w:eastAsia="Times New Roman" w:hAnsi="Times New Roman" w:cs="Times New Roman"/>
          <w:i/>
        </w:rPr>
        <w:t>Purnanas</w:t>
      </w:r>
      <w:proofErr w:type="spellEnd"/>
      <w:r>
        <w:rPr>
          <w:rFonts w:ascii="Times New Roman" w:eastAsia="Times New Roman" w:hAnsi="Times New Roman" w:cs="Times New Roman"/>
        </w:rPr>
        <w:t>, the Adivasis were equated to the likes of ‘</w:t>
      </w:r>
      <w:proofErr w:type="spellStart"/>
      <w:r>
        <w:rPr>
          <w:rFonts w:ascii="Times New Roman" w:eastAsia="Times New Roman" w:hAnsi="Times New Roman" w:cs="Times New Roman"/>
          <w:i/>
        </w:rPr>
        <w:t>jatayu</w:t>
      </w:r>
      <w:proofErr w:type="spellEnd"/>
      <w:r>
        <w:rPr>
          <w:rFonts w:ascii="Times New Roman" w:eastAsia="Times New Roman" w:hAnsi="Times New Roman" w:cs="Times New Roman"/>
        </w:rPr>
        <w:t>,’  ‘</w:t>
      </w:r>
      <w:proofErr w:type="spellStart"/>
      <w:r>
        <w:rPr>
          <w:rFonts w:ascii="Times New Roman" w:eastAsia="Times New Roman" w:hAnsi="Times New Roman" w:cs="Times New Roman"/>
          <w:i/>
        </w:rPr>
        <w:t>sabari</w:t>
      </w:r>
      <w:proofErr w:type="spellEnd"/>
      <w:r>
        <w:rPr>
          <w:rFonts w:ascii="Times New Roman" w:eastAsia="Times New Roman" w:hAnsi="Times New Roman" w:cs="Times New Roman"/>
        </w:rPr>
        <w:t>,’ ‘</w:t>
      </w:r>
      <w:proofErr w:type="spellStart"/>
      <w:r>
        <w:rPr>
          <w:rFonts w:ascii="Times New Roman" w:eastAsia="Times New Roman" w:hAnsi="Times New Roman" w:cs="Times New Roman"/>
          <w:i/>
        </w:rPr>
        <w:t>dasyu</w:t>
      </w:r>
      <w:proofErr w:type="spellEnd"/>
      <w:r>
        <w:rPr>
          <w:rFonts w:ascii="Times New Roman" w:eastAsia="Times New Roman" w:hAnsi="Times New Roman" w:cs="Times New Roman"/>
        </w:rPr>
        <w:t>,’ ‘</w:t>
      </w:r>
      <w:proofErr w:type="spellStart"/>
      <w:r>
        <w:rPr>
          <w:rFonts w:ascii="Times New Roman" w:eastAsia="Times New Roman" w:hAnsi="Times New Roman" w:cs="Times New Roman"/>
          <w:i/>
        </w:rPr>
        <w:t>daitya</w:t>
      </w:r>
      <w:proofErr w:type="spellEnd"/>
      <w:r>
        <w:rPr>
          <w:rFonts w:ascii="Times New Roman" w:eastAsia="Times New Roman" w:hAnsi="Times New Roman" w:cs="Times New Roman"/>
        </w:rPr>
        <w:t>,’ ‘</w:t>
      </w:r>
      <w:proofErr w:type="spellStart"/>
      <w:r>
        <w:rPr>
          <w:rFonts w:ascii="Times New Roman" w:eastAsia="Times New Roman" w:hAnsi="Times New Roman" w:cs="Times New Roman"/>
          <w:i/>
        </w:rPr>
        <w:t>nishadas</w:t>
      </w:r>
      <w:proofErr w:type="spellEnd"/>
      <w:r>
        <w:rPr>
          <w:rFonts w:ascii="Times New Roman" w:eastAsia="Times New Roman" w:hAnsi="Times New Roman" w:cs="Times New Roman"/>
        </w:rPr>
        <w:t>,’ ‘</w:t>
      </w:r>
      <w:r>
        <w:rPr>
          <w:rFonts w:ascii="Times New Roman" w:eastAsia="Times New Roman" w:hAnsi="Times New Roman" w:cs="Times New Roman"/>
          <w:i/>
        </w:rPr>
        <w:t>rakshasas</w:t>
      </w:r>
      <w:r>
        <w:rPr>
          <w:rFonts w:ascii="Times New Roman" w:eastAsia="Times New Roman" w:hAnsi="Times New Roman" w:cs="Times New Roman"/>
        </w:rPr>
        <w:t>,’ and ‘</w:t>
      </w:r>
      <w:proofErr w:type="spellStart"/>
      <w:r>
        <w:rPr>
          <w:rFonts w:ascii="Times New Roman" w:eastAsia="Times New Roman" w:hAnsi="Times New Roman" w:cs="Times New Roman"/>
          <w:i/>
        </w:rPr>
        <w:t>banaras</w:t>
      </w:r>
      <w:proofErr w:type="spellEnd"/>
      <w:r>
        <w:rPr>
          <w:rFonts w:ascii="Times New Roman" w:eastAsia="Times New Roman" w:hAnsi="Times New Roman" w:cs="Times New Roman"/>
        </w:rPr>
        <w:t>’ (Bijoy, 2001, pp. 55-56;  Thapar, 1978, pp. 139-152). Such epistemes became grounded in a preliminary form of racism.  A devious amalgamation of race, religion and caste assumed the centre stage, articulating and  normalising conceptually brutalised imageries of Adivasi communities. It was this legacy of a  ‘</w:t>
      </w:r>
      <w:proofErr w:type="spellStart"/>
      <w:r>
        <w:rPr>
          <w:rFonts w:ascii="Times New Roman" w:eastAsia="Times New Roman" w:hAnsi="Times New Roman" w:cs="Times New Roman"/>
        </w:rPr>
        <w:t>Sankritised</w:t>
      </w:r>
      <w:proofErr w:type="spellEnd"/>
      <w:r>
        <w:rPr>
          <w:rFonts w:ascii="Times New Roman" w:eastAsia="Times New Roman" w:hAnsi="Times New Roman" w:cs="Times New Roman"/>
        </w:rPr>
        <w:t xml:space="preserve">’ precolonial ‘tribe’ that percolated down to the colonial era.  </w:t>
      </w:r>
    </w:p>
    <w:p w14:paraId="4F439A2D" w14:textId="77777777" w:rsidR="003934E1" w:rsidRDefault="00000000">
      <w:pPr>
        <w:widowControl w:val="0"/>
        <w:spacing w:before="30" w:line="344" w:lineRule="auto"/>
        <w:ind w:left="7" w:right="-5" w:firstLine="568"/>
        <w:jc w:val="both"/>
        <w:rPr>
          <w:rFonts w:ascii="Times New Roman" w:eastAsia="Times New Roman" w:hAnsi="Times New Roman" w:cs="Times New Roman"/>
        </w:rPr>
      </w:pPr>
      <w:r>
        <w:rPr>
          <w:rFonts w:ascii="Times New Roman" w:eastAsia="Times New Roman" w:hAnsi="Times New Roman" w:cs="Times New Roman"/>
        </w:rPr>
        <w:t xml:space="preserve">As the British made further inroads into the interiors of Adivasi highlands, the colonial  script rewrote the previously inscribed representations by embarking on the ideological  stirrings of the West, especially England. The erstwhile brutalised Puranic imageries were,  hence, popularised by a new wave of Orientalism, orchestrated by veteran British ideologues  T.B. Macaulay, Max Mueller, and William Jones. Under this reigning belief, the Adivasis were  condemned as a Hindu sub-group and, yet again, relegated as ‘residual backwards’ (A. Bara,  2024, p. 76). ‘Rule of law,’ posed as a chief tenet of Free Trade Imperialism, was assumed to  be ‘indispensable’ for the containment of the ‘wild’ and ‘unruly’ ‘semi-civilised tribe[s]’ (Man,  1867, pp. 127-128). These cultural predispositions developed from a prolonged tradition of  romanticisation and </w:t>
      </w:r>
      <w:proofErr w:type="spellStart"/>
      <w:r>
        <w:rPr>
          <w:rFonts w:ascii="Times New Roman" w:eastAsia="Times New Roman" w:hAnsi="Times New Roman" w:cs="Times New Roman"/>
        </w:rPr>
        <w:t>otherisation</w:t>
      </w:r>
      <w:proofErr w:type="spellEnd"/>
      <w:r>
        <w:rPr>
          <w:rFonts w:ascii="Times New Roman" w:eastAsia="Times New Roman" w:hAnsi="Times New Roman" w:cs="Times New Roman"/>
        </w:rPr>
        <w:t xml:space="preserve"> of the Asian, African, and Middle Eastern cultures, which  served as a tacit justification for European colonial expansion. In this regard, the Adivasi  frontiers witnessed the mushrooming of entrenched Eurocentric prejudices of the British  against the Adivasi societies and their socio-cultural traditions. More importantly, the fusion of  ‘Victorian morality’ and ‘Orientalist nostalgia’ spawned the emergence of the Adivasi figure as  ‘both childlike and violent, irrational and noble savage (Dirks, 2001, p. 57; Skaria, </w:t>
      </w:r>
      <w:r>
        <w:rPr>
          <w:rFonts w:ascii="Times New Roman" w:eastAsia="Times New Roman" w:hAnsi="Times New Roman" w:cs="Times New Roman"/>
        </w:rPr>
        <w:lastRenderedPageBreak/>
        <w:t xml:space="preserve">1999, p. 144). </w:t>
      </w:r>
    </w:p>
    <w:p w14:paraId="6F7E8E61" w14:textId="77777777" w:rsidR="003934E1" w:rsidRDefault="00000000">
      <w:pPr>
        <w:widowControl w:val="0"/>
        <w:spacing w:before="30" w:line="344" w:lineRule="auto"/>
        <w:ind w:left="7" w:right="-5" w:firstLine="569"/>
        <w:jc w:val="both"/>
        <w:rPr>
          <w:rFonts w:ascii="Times New Roman" w:eastAsia="Times New Roman" w:hAnsi="Times New Roman" w:cs="Times New Roman"/>
        </w:rPr>
      </w:pPr>
      <w:r>
        <w:rPr>
          <w:rFonts w:ascii="Times New Roman" w:eastAsia="Times New Roman" w:hAnsi="Times New Roman" w:cs="Times New Roman"/>
        </w:rPr>
        <w:t xml:space="preserve">With the hollowness and superficiality of colonial judiciaries exposed, the Adivasis  articulated their claims of autonomy and land ownership through the Christian missionaries,  who seemingly yielded a sign of peace. Though colonial epistemes exhibited a demeanour of  exceptional concern for the protection of Adivasi rights, their history of dispossession and  contestations says otherwise. The Imperial state simply intended to utilise the genius of a team  of competent European officials led by Richard Temple, George Campbell, George Yule, and  E.T. Dalton to pacify the Adivasi rebels, expediting the incorporation of central Indian  provinces into the ‘brisk rhythms of colonial modernity’ (A. Bara, 2024, p. 7). Hence, the </w:t>
      </w:r>
    </w:p>
    <w:p w14:paraId="65291DDD" w14:textId="77777777" w:rsidR="003934E1" w:rsidRDefault="00000000">
      <w:pPr>
        <w:widowControl w:val="0"/>
        <w:ind w:right="53"/>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10 </w:t>
      </w:r>
    </w:p>
    <w:p w14:paraId="756BA66F"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3DDCF9E5" w14:textId="77777777" w:rsidR="003934E1" w:rsidRDefault="00000000">
      <w:pPr>
        <w:widowControl w:val="0"/>
        <w:spacing w:before="579" w:line="344" w:lineRule="auto"/>
        <w:ind w:left="9" w:right="-5"/>
        <w:jc w:val="both"/>
        <w:rPr>
          <w:rFonts w:ascii="Times New Roman" w:eastAsia="Times New Roman" w:hAnsi="Times New Roman" w:cs="Times New Roman"/>
        </w:rPr>
      </w:pPr>
      <w:r>
        <w:rPr>
          <w:rFonts w:ascii="Times New Roman" w:eastAsia="Times New Roman" w:hAnsi="Times New Roman" w:cs="Times New Roman"/>
        </w:rPr>
        <w:t xml:space="preserve">Adivasi societies were not studied as domains of history but as objects of the colonial gaze. To  this effect, the colonial state began exploring more advanced and tactical ways for taming the  enraged Adivasis. Eventually, it embarked on a rejuvenated programme of ‘civilisation,’ aimed  at making the Indian mind concur with the colonial ideas and actions and diffuse the causes of  dissent. In the light of such a political and intellectual climate, the urge to accumulate  knowledge on the colonised populace intensified enormously.  </w:t>
      </w:r>
    </w:p>
    <w:p w14:paraId="616B8C8C" w14:textId="77777777" w:rsidR="003934E1" w:rsidRDefault="00000000">
      <w:pPr>
        <w:widowControl w:val="0"/>
        <w:spacing w:before="30" w:line="341" w:lineRule="auto"/>
        <w:ind w:left="7" w:right="-5" w:firstLine="570"/>
        <w:jc w:val="both"/>
        <w:rPr>
          <w:rFonts w:ascii="Times New Roman" w:eastAsia="Times New Roman" w:hAnsi="Times New Roman" w:cs="Times New Roman"/>
        </w:rPr>
      </w:pPr>
      <w:r>
        <w:rPr>
          <w:rFonts w:ascii="Times New Roman" w:eastAsia="Times New Roman" w:hAnsi="Times New Roman" w:cs="Times New Roman"/>
        </w:rPr>
        <w:t>Relying heavily upon the information provided by the elaborate task force of local  functionaries, the Imperial machinery devised countrywide procedures, norms, and taxonomies  of enumeration. In their central Indian renditions, locally curated exploratory treatises were  produced and disseminated to comprehend, forge new power relations, redefine and  reformulate identities, and, therefore, administer the recalcitrant Adivasis. Central Indian  Adivasi belt, therefore, transmuted into an experimental arena, simultaneous attempts at  classifying, regulating, and governing the Adivasi populace through the articulation of colonial  ‘knowledge.’ First of its kind on the Adivasi questions due to its localised nature, magnitude,  impact, and usages, this body of literature was, in a real sense, what historian Joseph Bara  refers to as ‘sub-orientalist’ ethnographies (J. Bara, 2002; J. Bara, 2009, p. 93). Methodologically, these literary ventures were markedly different from the preliminary sketchy  reports of the early 19</w:t>
      </w:r>
      <w:r>
        <w:rPr>
          <w:rFonts w:ascii="Times New Roman" w:eastAsia="Times New Roman" w:hAnsi="Times New Roman" w:cs="Times New Roman"/>
          <w:sz w:val="26"/>
          <w:szCs w:val="26"/>
          <w:vertAlign w:val="superscript"/>
        </w:rPr>
        <w:t xml:space="preserve">th </w:t>
      </w:r>
      <w:r>
        <w:rPr>
          <w:rFonts w:ascii="Times New Roman" w:eastAsia="Times New Roman" w:hAnsi="Times New Roman" w:cs="Times New Roman"/>
        </w:rPr>
        <w:t xml:space="preserve">century. Building upon the precedents of the </w:t>
      </w:r>
      <w:proofErr w:type="spellStart"/>
      <w:r>
        <w:rPr>
          <w:rFonts w:ascii="Times New Roman" w:eastAsia="Times New Roman" w:hAnsi="Times New Roman" w:cs="Times New Roman"/>
        </w:rPr>
        <w:t>Wilkinsonian</w:t>
      </w:r>
      <w:proofErr w:type="spellEnd"/>
      <w:r>
        <w:rPr>
          <w:rFonts w:ascii="Times New Roman" w:eastAsia="Times New Roman" w:hAnsi="Times New Roman" w:cs="Times New Roman"/>
        </w:rPr>
        <w:t xml:space="preserve"> era, wherein  establishing a cordial rapport with the Adivasi inhabitants and learning their language, albeit  through flash visits, these ethnographical ventures invested in prolonged research processes to  enhance a meaningful appreciation of the Adivasi societies. </w:t>
      </w:r>
    </w:p>
    <w:p w14:paraId="75FBC633" w14:textId="77777777" w:rsidR="003934E1" w:rsidRDefault="00000000">
      <w:pPr>
        <w:widowControl w:val="0"/>
        <w:spacing w:before="29" w:line="344" w:lineRule="auto"/>
        <w:ind w:left="7" w:right="-5" w:firstLine="563"/>
        <w:jc w:val="both"/>
        <w:rPr>
          <w:rFonts w:ascii="Times New Roman" w:eastAsia="Times New Roman" w:hAnsi="Times New Roman" w:cs="Times New Roman"/>
        </w:rPr>
      </w:pPr>
      <w:r>
        <w:rPr>
          <w:rFonts w:ascii="Times New Roman" w:eastAsia="Times New Roman" w:hAnsi="Times New Roman" w:cs="Times New Roman"/>
        </w:rPr>
        <w:t xml:space="preserve">Navigating the uncharted waters of studying the Adivasi societies from close quarters,  the colonial ethnographers stationed themselves in the remote Adivasi villages of the central  </w:t>
      </w:r>
      <w:r>
        <w:rPr>
          <w:rFonts w:ascii="Times New Roman" w:eastAsia="Times New Roman" w:hAnsi="Times New Roman" w:cs="Times New Roman"/>
        </w:rPr>
        <w:lastRenderedPageBreak/>
        <w:t xml:space="preserve">Indian woodlands for a prolonged period. Subsequently, what began as sporadic survey  exercises was systematised into a colossal corpus of ethnographic, linguistic, enumerative, and  statistical treatises in the wake of fresh episodes of Adivasi assertions. Preoccupied with the  Brahminical imageries of the ‘tribe,’ the concept was laced with emergent theories of Western  theories of racialism (J. Bara, 2009). It is noteworthy to observe that the alterations in racialised  articulations ran parallel to the ebb and flows of the ongoing Adivasi rebellions. Owing to the  Adivasi resurgence in the </w:t>
      </w:r>
      <w:r>
        <w:rPr>
          <w:rFonts w:ascii="Times New Roman" w:eastAsia="Times New Roman" w:hAnsi="Times New Roman" w:cs="Times New Roman"/>
          <w:i/>
        </w:rPr>
        <w:t xml:space="preserve">Sardari Larai </w:t>
      </w:r>
      <w:r>
        <w:rPr>
          <w:rFonts w:ascii="Times New Roman" w:eastAsia="Times New Roman" w:hAnsi="Times New Roman" w:cs="Times New Roman"/>
        </w:rPr>
        <w:t xml:space="preserve">and </w:t>
      </w:r>
      <w:proofErr w:type="spellStart"/>
      <w:r>
        <w:rPr>
          <w:rFonts w:ascii="Times New Roman" w:eastAsia="Times New Roman" w:hAnsi="Times New Roman" w:cs="Times New Roman"/>
          <w:i/>
        </w:rPr>
        <w:t>Kherwar</w:t>
      </w:r>
      <w:proofErr w:type="spellEnd"/>
      <w:r>
        <w:rPr>
          <w:rFonts w:ascii="Times New Roman" w:eastAsia="Times New Roman" w:hAnsi="Times New Roman" w:cs="Times New Roman"/>
          <w:i/>
        </w:rPr>
        <w:t xml:space="preserve"> Movement</w:t>
      </w:r>
      <w:r>
        <w:rPr>
          <w:rFonts w:ascii="Times New Roman" w:eastAsia="Times New Roman" w:hAnsi="Times New Roman" w:cs="Times New Roman"/>
        </w:rPr>
        <w:t xml:space="preserve">, extending from 1858 to 1895,  the conceptual defamation of ‘tribe’ soared dramatically in this period. Against this setting of  protracted Adivasi struggles for agrarian rights and autonomy in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and Central  Provinces, Western evolutionary theories of race gained traction in the 1860s, pigeonholing  ‘tribe’ as ‘savage’ or ‘wild.’ Accordingly, the prevalent conception of ‘tribe’ got infused with </w:t>
      </w:r>
    </w:p>
    <w:p w14:paraId="56EF8F95" w14:textId="77777777" w:rsidR="003934E1" w:rsidRDefault="00000000">
      <w:pPr>
        <w:widowControl w:val="0"/>
        <w:ind w:right="53"/>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11 </w:t>
      </w:r>
    </w:p>
    <w:p w14:paraId="3F64271D"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003D512A" w14:textId="77777777" w:rsidR="003934E1" w:rsidRDefault="00000000">
      <w:pPr>
        <w:widowControl w:val="0"/>
        <w:spacing w:before="579" w:line="344" w:lineRule="auto"/>
        <w:ind w:left="10" w:right="-3"/>
        <w:jc w:val="both"/>
        <w:rPr>
          <w:rFonts w:ascii="Times New Roman" w:eastAsia="Times New Roman" w:hAnsi="Times New Roman" w:cs="Times New Roman"/>
        </w:rPr>
      </w:pPr>
      <w:r>
        <w:rPr>
          <w:rFonts w:ascii="Times New Roman" w:eastAsia="Times New Roman" w:hAnsi="Times New Roman" w:cs="Times New Roman"/>
        </w:rPr>
        <w:t xml:space="preserve">the Social Darwinist notions, explicating savagery or wildness as a stage of human evolution.  In the civilisational ladder, the ‘superior’ Whiteman of the West was considered to have reached  the pinnacle, while the Adivasi, stuck at the bottom, became his conceptual opposite.  </w:t>
      </w:r>
    </w:p>
    <w:p w14:paraId="4B5F72A0" w14:textId="77777777" w:rsidR="003934E1" w:rsidRDefault="00000000">
      <w:pPr>
        <w:widowControl w:val="0"/>
        <w:spacing w:before="27" w:line="344" w:lineRule="auto"/>
        <w:ind w:left="7" w:right="-5" w:firstLine="570"/>
        <w:jc w:val="both"/>
        <w:rPr>
          <w:rFonts w:ascii="Times New Roman" w:eastAsia="Times New Roman" w:hAnsi="Times New Roman" w:cs="Times New Roman"/>
        </w:rPr>
      </w:pPr>
      <w:r>
        <w:rPr>
          <w:rFonts w:ascii="Times New Roman" w:eastAsia="Times New Roman" w:hAnsi="Times New Roman" w:cs="Times New Roman"/>
        </w:rPr>
        <w:t>Resting their claims on presumed physiological backwardness, especially the stunted  cranial growth and ‘</w:t>
      </w:r>
      <w:proofErr w:type="spellStart"/>
      <w:r>
        <w:rPr>
          <w:rFonts w:ascii="Times New Roman" w:eastAsia="Times New Roman" w:hAnsi="Times New Roman" w:cs="Times New Roman"/>
        </w:rPr>
        <w:t>negrito</w:t>
      </w:r>
      <w:proofErr w:type="spellEnd"/>
      <w:r>
        <w:rPr>
          <w:rFonts w:ascii="Times New Roman" w:eastAsia="Times New Roman" w:hAnsi="Times New Roman" w:cs="Times New Roman"/>
        </w:rPr>
        <w:t>[-like]’ dark skin; the sub-orientalist ethnographies applied this  social Darwinist tinge to ineradicably brand the Adivasi societies as ‘uncivilised’ and  ‘backward.’ Around the late 1860s and early 1870s, the ascription of such racial overtones  attached to Adivasi imageries was subjected to further denigration within the ambit of the  prevalent caste hierarchies. While the agitating Adivasis took recourse to the recently acquired  rudimentary literacy skills in their petitions and depositions, respectively, for radical claims,  they were despised and demonised as ‘</w:t>
      </w:r>
      <w:proofErr w:type="spellStart"/>
      <w:r>
        <w:rPr>
          <w:rFonts w:ascii="Times New Roman" w:eastAsia="Times New Roman" w:hAnsi="Times New Roman" w:cs="Times New Roman"/>
          <w:i/>
        </w:rPr>
        <w:t>sar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kols</w:t>
      </w:r>
      <w:r>
        <w:rPr>
          <w:rFonts w:ascii="Times New Roman" w:eastAsia="Times New Roman" w:hAnsi="Times New Roman" w:cs="Times New Roman"/>
        </w:rPr>
        <w:t>’</w:t>
      </w:r>
      <w:proofErr w:type="spellEnd"/>
      <w:r>
        <w:rPr>
          <w:rFonts w:ascii="Times New Roman" w:eastAsia="Times New Roman" w:hAnsi="Times New Roman" w:cs="Times New Roman"/>
        </w:rPr>
        <w:t xml:space="preserve"> (dirty ‘</w:t>
      </w:r>
      <w:proofErr w:type="spellStart"/>
      <w:r>
        <w:rPr>
          <w:rFonts w:ascii="Times New Roman" w:eastAsia="Times New Roman" w:hAnsi="Times New Roman" w:cs="Times New Roman"/>
        </w:rPr>
        <w:t>kols’</w:t>
      </w:r>
      <w:proofErr w:type="spellEnd"/>
      <w:r>
        <w:rPr>
          <w:rFonts w:ascii="Times New Roman" w:eastAsia="Times New Roman" w:hAnsi="Times New Roman" w:cs="Times New Roman"/>
        </w:rPr>
        <w:t xml:space="preserve">), ‘impure and illiterate savages,’  ‘stubborn </w:t>
      </w:r>
      <w:proofErr w:type="spellStart"/>
      <w:r>
        <w:rPr>
          <w:rFonts w:ascii="Times New Roman" w:eastAsia="Times New Roman" w:hAnsi="Times New Roman" w:cs="Times New Roman"/>
          <w:i/>
        </w:rPr>
        <w:t>kols</w:t>
      </w:r>
      <w:proofErr w:type="spellEnd"/>
      <w:r>
        <w:rPr>
          <w:rFonts w:ascii="Times New Roman" w:eastAsia="Times New Roman" w:hAnsi="Times New Roman" w:cs="Times New Roman"/>
        </w:rPr>
        <w:t xml:space="preserve">,’ ‘restless </w:t>
      </w:r>
      <w:proofErr w:type="spellStart"/>
      <w:r>
        <w:rPr>
          <w:rFonts w:ascii="Times New Roman" w:eastAsia="Times New Roman" w:hAnsi="Times New Roman" w:cs="Times New Roman"/>
          <w:i/>
        </w:rPr>
        <w:t>junglies</w:t>
      </w:r>
      <w:proofErr w:type="spellEnd"/>
      <w:r>
        <w:rPr>
          <w:rFonts w:ascii="Times New Roman" w:eastAsia="Times New Roman" w:hAnsi="Times New Roman" w:cs="Times New Roman"/>
        </w:rPr>
        <w:t>,’ ‘</w:t>
      </w:r>
      <w:proofErr w:type="spellStart"/>
      <w:r>
        <w:rPr>
          <w:rFonts w:ascii="Times New Roman" w:eastAsia="Times New Roman" w:hAnsi="Times New Roman" w:cs="Times New Roman"/>
          <w:i/>
        </w:rPr>
        <w:t>chuars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and ‘</w:t>
      </w:r>
      <w:proofErr w:type="spellStart"/>
      <w:r>
        <w:rPr>
          <w:rFonts w:ascii="Times New Roman" w:eastAsia="Times New Roman" w:hAnsi="Times New Roman" w:cs="Times New Roman"/>
          <w:i/>
        </w:rPr>
        <w:t>dakaits</w:t>
      </w:r>
      <w:proofErr w:type="spellEnd"/>
      <w:r>
        <w:rPr>
          <w:rFonts w:ascii="Times New Roman" w:eastAsia="Times New Roman" w:hAnsi="Times New Roman" w:cs="Times New Roman"/>
        </w:rPr>
        <w:t xml:space="preserve">’ (Hoffmann, Vol. V, n.d., pp. 1449- 1450; PRCAD, Vol. I, n.d. p. 82). Such appellations were universalised in the case of Santal  Parganas, where the recent excesses by the landlords raised a fresh rebellion situation, namely  the </w:t>
      </w:r>
      <w:proofErr w:type="spellStart"/>
      <w:r>
        <w:rPr>
          <w:rFonts w:ascii="Times New Roman" w:eastAsia="Times New Roman" w:hAnsi="Times New Roman" w:cs="Times New Roman"/>
          <w:i/>
        </w:rPr>
        <w:t>Kherwar</w:t>
      </w:r>
      <w:proofErr w:type="spellEnd"/>
      <w:r>
        <w:rPr>
          <w:rFonts w:ascii="Times New Roman" w:eastAsia="Times New Roman" w:hAnsi="Times New Roman" w:cs="Times New Roman"/>
        </w:rPr>
        <w:t xml:space="preserve">, reminiscent of the </w:t>
      </w:r>
      <w:r>
        <w:rPr>
          <w:rFonts w:ascii="Times New Roman" w:eastAsia="Times New Roman" w:hAnsi="Times New Roman" w:cs="Times New Roman"/>
          <w:i/>
        </w:rPr>
        <w:t xml:space="preserve">Hul </w:t>
      </w:r>
      <w:r>
        <w:rPr>
          <w:rFonts w:ascii="Times New Roman" w:eastAsia="Times New Roman" w:hAnsi="Times New Roman" w:cs="Times New Roman"/>
        </w:rPr>
        <w:t xml:space="preserve">in 1855-56.  </w:t>
      </w:r>
    </w:p>
    <w:p w14:paraId="27BD5113" w14:textId="77777777" w:rsidR="003934E1" w:rsidRDefault="00000000">
      <w:pPr>
        <w:widowControl w:val="0"/>
        <w:spacing w:before="28" w:line="344" w:lineRule="auto"/>
        <w:ind w:left="7" w:right="-5" w:firstLine="573"/>
        <w:jc w:val="both"/>
        <w:rPr>
          <w:rFonts w:ascii="Times New Roman" w:eastAsia="Times New Roman" w:hAnsi="Times New Roman" w:cs="Times New Roman"/>
        </w:rPr>
      </w:pPr>
      <w:r>
        <w:rPr>
          <w:rFonts w:ascii="Times New Roman" w:eastAsia="Times New Roman" w:hAnsi="Times New Roman" w:cs="Times New Roman"/>
        </w:rPr>
        <w:t xml:space="preserve">Therefore, such imaginings hinged on the intersectionality of primitiveness, bestiality,  impurity and criminality (J. Bara, 2002; Thapar, 1978). Hereafter, colonial anxieties concerning  the long-drawn Adivasi uprisings were channelled through the rule of law and an incessant  trend of criminalisation of the Adivasi resistance. In 1871, with the execution of the Criminal  Tribes Act, the prejudiced, racist Imperial mind circumscribed the Adivasi societies, more so  the Munda, Uraon, and Santali rebels, as ‘criminal’ and ‘incorrigible backwards,’ in </w:t>
      </w:r>
      <w:r>
        <w:rPr>
          <w:rFonts w:ascii="Times New Roman" w:eastAsia="Times New Roman" w:hAnsi="Times New Roman" w:cs="Times New Roman"/>
        </w:rPr>
        <w:lastRenderedPageBreak/>
        <w:t xml:space="preserve">dire need  of civilisational upliftment (Radhakrishna, 2016). Though the Adivasi rebels rested their faith  on the rule of law, the power of constitutionalism, and Christian missions, the colonial state not  only failed to appropriately redress their grievances but also perpetuated enduring biases and  animosities against the Adivasi societies. Racialised derisions plagued even the most  enlightened writings of this period. In a stark irony, in 1873, R.D. Haldar, the pioneering figure  of the </w:t>
      </w:r>
      <w:proofErr w:type="spellStart"/>
      <w:r>
        <w:rPr>
          <w:rFonts w:ascii="Times New Roman" w:eastAsia="Times New Roman" w:hAnsi="Times New Roman" w:cs="Times New Roman"/>
          <w:i/>
        </w:rPr>
        <w:t>bhuinhari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survey, who uncovered Adivasi deprivation, penned diminutive parodies  explaining the totality of the cultural context. He remarked, ‘What are tigers without buffaloes?  What are cats without mice? Similarly, what are the Aryans without Koles? Superiority can be  proved only over inferiors’ (Haldar as cited in Personal Diary, October 18, 1873). </w:t>
      </w:r>
    </w:p>
    <w:p w14:paraId="24DC0BD0" w14:textId="77777777" w:rsidR="003934E1" w:rsidRDefault="00000000">
      <w:pPr>
        <w:widowControl w:val="0"/>
        <w:spacing w:before="30" w:line="344" w:lineRule="auto"/>
        <w:ind w:left="7" w:right="-4" w:firstLine="581"/>
        <w:jc w:val="both"/>
        <w:rPr>
          <w:rFonts w:ascii="Times New Roman" w:eastAsia="Times New Roman" w:hAnsi="Times New Roman" w:cs="Times New Roman"/>
        </w:rPr>
      </w:pPr>
      <w:r>
        <w:rPr>
          <w:rFonts w:ascii="Times New Roman" w:eastAsia="Times New Roman" w:hAnsi="Times New Roman" w:cs="Times New Roman"/>
        </w:rPr>
        <w:t xml:space="preserve">Such condescending approaches precipitated government apathy and perfunctory  policies. Instead of addressing the core Adivasi questions of autonomy, upholding its hollow  rhetoric of ‘peace and good government,’ the colonial state enacted Regulation III of 1872 in  the Santal Parganas on the lines of the </w:t>
      </w:r>
      <w:proofErr w:type="spellStart"/>
      <w:r>
        <w:rPr>
          <w:rFonts w:ascii="Times New Roman" w:eastAsia="Times New Roman" w:hAnsi="Times New Roman" w:cs="Times New Roman"/>
          <w:i/>
        </w:rPr>
        <w:t>bhuinhari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survey and settlement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w:t>
      </w:r>
    </w:p>
    <w:p w14:paraId="28BDF019" w14:textId="77777777" w:rsidR="003934E1" w:rsidRDefault="00000000">
      <w:pPr>
        <w:widowControl w:val="0"/>
        <w:ind w:right="53"/>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12 </w:t>
      </w:r>
    </w:p>
    <w:p w14:paraId="19B0B824"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2B94F460" w14:textId="77777777" w:rsidR="003934E1" w:rsidRDefault="00000000">
      <w:pPr>
        <w:widowControl w:val="0"/>
        <w:spacing w:before="579" w:line="344" w:lineRule="auto"/>
        <w:ind w:left="7" w:right="-5" w:firstLine="6"/>
        <w:jc w:val="both"/>
        <w:rPr>
          <w:rFonts w:ascii="Times New Roman" w:eastAsia="Times New Roman" w:hAnsi="Times New Roman" w:cs="Times New Roman"/>
        </w:rPr>
      </w:pPr>
      <w:r>
        <w:rPr>
          <w:rFonts w:ascii="Times New Roman" w:eastAsia="Times New Roman" w:hAnsi="Times New Roman" w:cs="Times New Roman"/>
        </w:rPr>
        <w:t xml:space="preserve">Irrespective of virulent assertions of self-rule by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Uraons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Hos</w:t>
      </w:r>
      <w:proofErr w:type="spellEnd"/>
      <w:r>
        <w:rPr>
          <w:rFonts w:ascii="Times New Roman" w:eastAsia="Times New Roman" w:hAnsi="Times New Roman" w:cs="Times New Roman"/>
        </w:rPr>
        <w:t xml:space="preserve"> and Santals since  precolonial times, the sub-Orientalist literature, to borrow Historian Sanjukta Das Gupta’s  words, ‘rendered them unfit to do so’ (S. Das Gupta, 2020, pp. 3535-362). Prompted by the  need to contain varying degrees of purported ‘savagery…in habits and ideas’ of Adivasi  communities and foster ‘civilisation,’ the British Parliament brought a comprehensive measure  under the Scheduled Districts Act, 1874 (Fraser, 1911, p. 281). A new variant of the erstwhile  ‘Non-Regulation,’ the new Act enabled the Government of India to declare any region exempt  from the operation of general laws, given the spiralling of the Adivasi upsurges of the </w:t>
      </w:r>
      <w:proofErr w:type="spellStart"/>
      <w:r>
        <w:rPr>
          <w:rFonts w:ascii="Times New Roman" w:eastAsia="Times New Roman" w:hAnsi="Times New Roman" w:cs="Times New Roman"/>
          <w:i/>
        </w:rPr>
        <w:t>Kherwar</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Movement in Santal Parganas and </w:t>
      </w:r>
      <w:r>
        <w:rPr>
          <w:rFonts w:ascii="Times New Roman" w:eastAsia="Times New Roman" w:hAnsi="Times New Roman" w:cs="Times New Roman"/>
          <w:i/>
        </w:rPr>
        <w:t xml:space="preserve">Sardari Larai </w:t>
      </w:r>
      <w:r>
        <w:rPr>
          <w:rFonts w:ascii="Times New Roman" w:eastAsia="Times New Roman" w:hAnsi="Times New Roman" w:cs="Times New Roman"/>
        </w:rPr>
        <w:t xml:space="preserve">in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w:t>
      </w:r>
    </w:p>
    <w:p w14:paraId="0C6FE2AA" w14:textId="77777777" w:rsidR="003934E1" w:rsidRDefault="00000000">
      <w:pPr>
        <w:widowControl w:val="0"/>
        <w:spacing w:before="27" w:line="344" w:lineRule="auto"/>
        <w:ind w:left="9" w:right="-5" w:firstLine="571"/>
        <w:jc w:val="both"/>
        <w:rPr>
          <w:rFonts w:ascii="Times New Roman" w:eastAsia="Times New Roman" w:hAnsi="Times New Roman" w:cs="Times New Roman"/>
        </w:rPr>
      </w:pPr>
      <w:r>
        <w:rPr>
          <w:rFonts w:ascii="Times New Roman" w:eastAsia="Times New Roman" w:hAnsi="Times New Roman" w:cs="Times New Roman"/>
        </w:rPr>
        <w:t xml:space="preserve">The final phase of these rebellions, ranging from the 1880s to 1895, saw an advanced  form of institutionalised racism with periodic instances of violence against escalating colonial  apathy. The British adopted the ‘Aryan Theory’ of caste, seeing the three upper varnas as of  Aryan-European descent, the </w:t>
      </w:r>
      <w:proofErr w:type="spellStart"/>
      <w:r>
        <w:rPr>
          <w:rFonts w:ascii="Times New Roman" w:eastAsia="Times New Roman" w:hAnsi="Times New Roman" w:cs="Times New Roman"/>
          <w:i/>
        </w:rPr>
        <w:t>shudra</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castes as non-Aryan, the Adivasis, who were referred to  as ‘primitive tribes’ and ‘aborigines.’ In other words, the racial appellation was intrinsically  linked to the very categorisation of Adivasis as residues of the outsized Hindu populace. The  census records and the assorted sub-Orientalist epistemes boosted a course of ‘prejudiced  enumeration’ (A. Bara, 2018). Drawing on H.H. Risley’s analysis, J.A. Baines, Census  Commissioner in 1891, sought to combine academic scholarship with his endeavours. This  </w:t>
      </w:r>
      <w:r>
        <w:rPr>
          <w:rFonts w:ascii="Times New Roman" w:eastAsia="Times New Roman" w:hAnsi="Times New Roman" w:cs="Times New Roman"/>
        </w:rPr>
        <w:lastRenderedPageBreak/>
        <w:t xml:space="preserve">gave the Census a new direction and anticipated a trend towards theorising taxonomy that the  latter Censuses increasingly displayed. Baines intended to create an academically sound record  that would incorporate existing debates on race, ‘tribes,’ and castes, referring to the disciplines  of ethnology, and draw upon works that cut across time and geographical barriers.  </w:t>
      </w:r>
    </w:p>
    <w:p w14:paraId="3B575ACA" w14:textId="77777777" w:rsidR="003934E1" w:rsidRDefault="00000000">
      <w:pPr>
        <w:widowControl w:val="0"/>
        <w:spacing w:before="30" w:line="344" w:lineRule="auto"/>
        <w:ind w:left="10" w:right="-5" w:firstLine="567"/>
        <w:jc w:val="both"/>
        <w:rPr>
          <w:rFonts w:ascii="Times New Roman" w:eastAsia="Times New Roman" w:hAnsi="Times New Roman" w:cs="Times New Roman"/>
        </w:rPr>
      </w:pPr>
      <w:r>
        <w:rPr>
          <w:rFonts w:ascii="Times New Roman" w:eastAsia="Times New Roman" w:hAnsi="Times New Roman" w:cs="Times New Roman"/>
        </w:rPr>
        <w:t xml:space="preserve">Within the general despicable term of ‘tribe’ and attribution of conflicting physical and  cultural traits, the ethnographical literature attempted to discover the ‘noble savage,’ namely,  the ‘savage tribe’ possessing certain virtues. In rare instances, Adivasis were seen as ‘simple  industrious people… [and] reputed to be remarkably honest and truthful’ (Campbell, . While  discovering the ‘noble’ side, the ‘savage aspect’ remained bold. This prepared the ground for  the misrepresentation of Adivasis as ‘backward Hindus’ in the coming years. In the exploration  of the ‘Orient,’ the British skilfully normalised and institutionalised the Eurocentric knowledge  system through the mechanism of dual racism and scheduling.  </w:t>
      </w:r>
    </w:p>
    <w:p w14:paraId="2142D8B8" w14:textId="77777777" w:rsidR="003934E1" w:rsidRDefault="00000000">
      <w:pPr>
        <w:widowControl w:val="0"/>
        <w:spacing w:before="306" w:line="343" w:lineRule="auto"/>
        <w:ind w:left="7"/>
        <w:jc w:val="center"/>
        <w:rPr>
          <w:rFonts w:ascii="Times New Roman" w:eastAsia="Times New Roman" w:hAnsi="Times New Roman" w:cs="Times New Roman"/>
        </w:rPr>
      </w:pPr>
      <w:r>
        <w:rPr>
          <w:rFonts w:ascii="Times New Roman" w:eastAsia="Times New Roman" w:hAnsi="Times New Roman" w:cs="Times New Roman"/>
          <w:b/>
          <w:sz w:val="28"/>
          <w:szCs w:val="28"/>
        </w:rPr>
        <w:t xml:space="preserve">Rejecting the Raj: Adivasi dynamism and the question of ‘decoloniality’ </w:t>
      </w:r>
      <w:r>
        <w:rPr>
          <w:rFonts w:ascii="Times New Roman" w:eastAsia="Times New Roman" w:hAnsi="Times New Roman" w:cs="Times New Roman"/>
        </w:rPr>
        <w:t xml:space="preserve">As seen in the discussion hitherto, the colonisation of the central Indian Adivasi belt  brought with it a bogey of sub-Orientalist literature with Eurocentric sensibilities and realities </w:t>
      </w:r>
    </w:p>
    <w:p w14:paraId="1C80BC73" w14:textId="77777777" w:rsidR="003934E1" w:rsidRDefault="00000000">
      <w:pPr>
        <w:widowControl w:val="0"/>
        <w:ind w:right="53"/>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13 </w:t>
      </w:r>
    </w:p>
    <w:p w14:paraId="11CA44B2"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17BA2DFE" w14:textId="77777777" w:rsidR="003934E1" w:rsidRDefault="00000000">
      <w:pPr>
        <w:widowControl w:val="0"/>
        <w:spacing w:before="579" w:line="344" w:lineRule="auto"/>
        <w:ind w:left="7" w:right="-5" w:firstLine="2"/>
        <w:jc w:val="both"/>
        <w:rPr>
          <w:rFonts w:ascii="Times New Roman" w:eastAsia="Times New Roman" w:hAnsi="Times New Roman" w:cs="Times New Roman"/>
        </w:rPr>
      </w:pPr>
      <w:r>
        <w:rPr>
          <w:rFonts w:ascii="Times New Roman" w:eastAsia="Times New Roman" w:hAnsi="Times New Roman" w:cs="Times New Roman"/>
        </w:rPr>
        <w:t xml:space="preserve">that stood in sharp contrast with the Adivasi worldviews. In this context, coloniality, as Walter  </w:t>
      </w:r>
      <w:proofErr w:type="spellStart"/>
      <w:r>
        <w:rPr>
          <w:rFonts w:ascii="Times New Roman" w:eastAsia="Times New Roman" w:hAnsi="Times New Roman" w:cs="Times New Roman"/>
        </w:rPr>
        <w:t>Mignolo</w:t>
      </w:r>
      <w:proofErr w:type="spellEnd"/>
      <w:r>
        <w:rPr>
          <w:rFonts w:ascii="Times New Roman" w:eastAsia="Times New Roman" w:hAnsi="Times New Roman" w:cs="Times New Roman"/>
        </w:rPr>
        <w:t xml:space="preserve"> postulates, surpassed the material realm and overflowed into the sphere of knowledge  production based on incongruous ‘colonial binaries’ (</w:t>
      </w:r>
      <w:proofErr w:type="spellStart"/>
      <w:r>
        <w:rPr>
          <w:rFonts w:ascii="Times New Roman" w:eastAsia="Times New Roman" w:hAnsi="Times New Roman" w:cs="Times New Roman"/>
        </w:rPr>
        <w:t>Mignolo</w:t>
      </w:r>
      <w:proofErr w:type="spellEnd"/>
      <w:r>
        <w:rPr>
          <w:rFonts w:ascii="Times New Roman" w:eastAsia="Times New Roman" w:hAnsi="Times New Roman" w:cs="Times New Roman"/>
        </w:rPr>
        <w:t xml:space="preserve"> and Walsh, 2018). Nonetheless,  the colonial central India was not a monochromatic canvas of the Western and Brahminical  palette of knowledge systems. It was, in fact, a picturesque collage of varied dialogical ways  of knowing. Indologist Ronald B. </w:t>
      </w:r>
      <w:proofErr w:type="spellStart"/>
      <w:r>
        <w:rPr>
          <w:rFonts w:ascii="Times New Roman" w:eastAsia="Times New Roman" w:hAnsi="Times New Roman" w:cs="Times New Roman"/>
        </w:rPr>
        <w:t>Inden</w:t>
      </w:r>
      <w:proofErr w:type="spellEnd"/>
      <w:r>
        <w:rPr>
          <w:rFonts w:ascii="Times New Roman" w:eastAsia="Times New Roman" w:hAnsi="Times New Roman" w:cs="Times New Roman"/>
        </w:rPr>
        <w:t xml:space="preserve"> reveals, in his critique of the Saidian model of the  ‘Occident’ and the ‘Orient,’ the dynamic presence of the obscured epistemes that transcended  the dominant narratives (</w:t>
      </w:r>
      <w:proofErr w:type="spellStart"/>
      <w:r>
        <w:rPr>
          <w:rFonts w:ascii="Times New Roman" w:eastAsia="Times New Roman" w:hAnsi="Times New Roman" w:cs="Times New Roman"/>
        </w:rPr>
        <w:t>Inden</w:t>
      </w:r>
      <w:proofErr w:type="spellEnd"/>
      <w:r>
        <w:rPr>
          <w:rFonts w:ascii="Times New Roman" w:eastAsia="Times New Roman" w:hAnsi="Times New Roman" w:cs="Times New Roman"/>
        </w:rPr>
        <w:t xml:space="preserve">, 1986; </w:t>
      </w:r>
      <w:proofErr w:type="spellStart"/>
      <w:r>
        <w:rPr>
          <w:rFonts w:ascii="Times New Roman" w:eastAsia="Times New Roman" w:hAnsi="Times New Roman" w:cs="Times New Roman"/>
        </w:rPr>
        <w:t>Inden</w:t>
      </w:r>
      <w:proofErr w:type="spellEnd"/>
      <w:r>
        <w:rPr>
          <w:rFonts w:ascii="Times New Roman" w:eastAsia="Times New Roman" w:hAnsi="Times New Roman" w:cs="Times New Roman"/>
        </w:rPr>
        <w:t>, 1990). It then becomes important to ‘delink’ from  the ‘colonial binaries’ and ‘colonial mindset’ while pinpointing the epistemic ruptures in the  history of central India. This calls for a thorough reinterpretation of Adivasi pasts, a  ‘</w:t>
      </w:r>
      <w:proofErr w:type="spellStart"/>
      <w:r>
        <w:rPr>
          <w:rFonts w:ascii="Times New Roman" w:eastAsia="Times New Roman" w:hAnsi="Times New Roman" w:cs="Times New Roman"/>
        </w:rPr>
        <w:t>pluriversal</w:t>
      </w:r>
      <w:proofErr w:type="spellEnd"/>
      <w:r>
        <w:rPr>
          <w:rFonts w:ascii="Times New Roman" w:eastAsia="Times New Roman" w:hAnsi="Times New Roman" w:cs="Times New Roman"/>
        </w:rPr>
        <w:t xml:space="preserve">’ methodology, characteristic of varied coexistent alternative epistemes.  </w:t>
      </w:r>
    </w:p>
    <w:p w14:paraId="5C832E22" w14:textId="77777777" w:rsidR="003934E1" w:rsidRDefault="00000000">
      <w:pPr>
        <w:widowControl w:val="0"/>
        <w:spacing w:before="27" w:line="345" w:lineRule="auto"/>
        <w:ind w:left="7" w:right="-5" w:firstLine="572"/>
        <w:jc w:val="both"/>
        <w:rPr>
          <w:rFonts w:ascii="Times New Roman" w:eastAsia="Times New Roman" w:hAnsi="Times New Roman" w:cs="Times New Roman"/>
        </w:rPr>
      </w:pPr>
      <w:r>
        <w:rPr>
          <w:rFonts w:ascii="Times New Roman" w:eastAsia="Times New Roman" w:hAnsi="Times New Roman" w:cs="Times New Roman"/>
        </w:rPr>
        <w:t xml:space="preserve">In the specific cases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and Santal Parganas, every act of resistance was a  fracture, what </w:t>
      </w:r>
      <w:proofErr w:type="spellStart"/>
      <w:r>
        <w:rPr>
          <w:rFonts w:ascii="Times New Roman" w:eastAsia="Times New Roman" w:hAnsi="Times New Roman" w:cs="Times New Roman"/>
        </w:rPr>
        <w:t>Mignolo</w:t>
      </w:r>
      <w:proofErr w:type="spellEnd"/>
      <w:r>
        <w:rPr>
          <w:rFonts w:ascii="Times New Roman" w:eastAsia="Times New Roman" w:hAnsi="Times New Roman" w:cs="Times New Roman"/>
        </w:rPr>
        <w:t xml:space="preserve"> calls ‘epistemic disobedience,’ within the unilinear colonial and caste based paradigms of binaries, inequalities and historical injustices (</w:t>
      </w:r>
      <w:proofErr w:type="spellStart"/>
      <w:r>
        <w:rPr>
          <w:rFonts w:ascii="Times New Roman" w:eastAsia="Times New Roman" w:hAnsi="Times New Roman" w:cs="Times New Roman"/>
        </w:rPr>
        <w:t>Mignolo</w:t>
      </w:r>
      <w:proofErr w:type="spellEnd"/>
      <w:r>
        <w:rPr>
          <w:rFonts w:ascii="Times New Roman" w:eastAsia="Times New Roman" w:hAnsi="Times New Roman" w:cs="Times New Roman"/>
        </w:rPr>
        <w:t xml:space="preserve"> and Walsh, 2018). While discussing Adivasi resistance, the present section does not discern a static Adivasi  psyche struggling haplessly for traditional rights. On the contrary, it evinces how explicit and  </w:t>
      </w:r>
      <w:r>
        <w:rPr>
          <w:rFonts w:ascii="Times New Roman" w:eastAsia="Times New Roman" w:hAnsi="Times New Roman" w:cs="Times New Roman"/>
        </w:rPr>
        <w:lastRenderedPageBreak/>
        <w:t xml:space="preserve">‘quotidian’ modes of Munda, Uraon, and Santali resistance of half a century assumed different  shades. In their contestations, negotiations, and assertions that may not always be explicitly  violent, the very act of ‘survival’ became their ‘resistance’ (Pati, 2011). This reflected in the  lived realities of the Adivasi societies vis-à-vis the sustenance and preservation of their  communitarian kinship ties, cultivation practices, and customary laws amidst the transient  milieu of precolonial and colonial times (Sen, 2012). Here, the methodology of critical  emancipatory research, propounded by Molebatsi M. </w:t>
      </w:r>
      <w:proofErr w:type="spellStart"/>
      <w:r>
        <w:rPr>
          <w:rFonts w:ascii="Times New Roman" w:eastAsia="Times New Roman" w:hAnsi="Times New Roman" w:cs="Times New Roman"/>
        </w:rPr>
        <w:t>Nkoane</w:t>
      </w:r>
      <w:proofErr w:type="spellEnd"/>
      <w:r>
        <w:rPr>
          <w:rFonts w:ascii="Times New Roman" w:eastAsia="Times New Roman" w:hAnsi="Times New Roman" w:cs="Times New Roman"/>
        </w:rPr>
        <w:t xml:space="preserve">, becomes crucial for ‘listening’  to the marginalised Adivasi voices in the archives while corroborating the same and engaging  with the oral traditions (S. Das Gupta, 2020, pp. 353-362; </w:t>
      </w:r>
      <w:proofErr w:type="spellStart"/>
      <w:r>
        <w:rPr>
          <w:rFonts w:ascii="Times New Roman" w:eastAsia="Times New Roman" w:hAnsi="Times New Roman" w:cs="Times New Roman"/>
        </w:rPr>
        <w:t>Nkoane</w:t>
      </w:r>
      <w:proofErr w:type="spellEnd"/>
      <w:r>
        <w:rPr>
          <w:rFonts w:ascii="Times New Roman" w:eastAsia="Times New Roman" w:hAnsi="Times New Roman" w:cs="Times New Roman"/>
        </w:rPr>
        <w:t xml:space="preserve">, 2012, pp. 98-104).  </w:t>
      </w:r>
    </w:p>
    <w:p w14:paraId="2F8DA56B" w14:textId="77777777" w:rsidR="003934E1" w:rsidRDefault="00000000">
      <w:pPr>
        <w:widowControl w:val="0"/>
        <w:spacing w:before="27" w:line="344" w:lineRule="auto"/>
        <w:ind w:left="7" w:right="-5" w:firstLine="568"/>
        <w:jc w:val="both"/>
        <w:rPr>
          <w:rFonts w:ascii="Times New Roman" w:eastAsia="Times New Roman" w:hAnsi="Times New Roman" w:cs="Times New Roman"/>
        </w:rPr>
      </w:pPr>
      <w:r>
        <w:rPr>
          <w:rFonts w:ascii="Times New Roman" w:eastAsia="Times New Roman" w:hAnsi="Times New Roman" w:cs="Times New Roman"/>
        </w:rPr>
        <w:t xml:space="preserve">A commendable initiative in this direction is that of Peter Andersen, Marine Carrin, and  Santosh K Soren’s 2011 publication, </w:t>
      </w:r>
      <w:r>
        <w:rPr>
          <w:rFonts w:ascii="Times New Roman" w:eastAsia="Times New Roman" w:hAnsi="Times New Roman" w:cs="Times New Roman"/>
          <w:i/>
        </w:rPr>
        <w:t>From Fire Rain to Rebellion: Reasserting Ethnic Identity  Through Narrative</w:t>
      </w:r>
      <w:r>
        <w:rPr>
          <w:rFonts w:ascii="Times New Roman" w:eastAsia="Times New Roman" w:hAnsi="Times New Roman" w:cs="Times New Roman"/>
        </w:rPr>
        <w:t xml:space="preserve">, that deftly captures the multifarious ways in which ‘Santals recast their  traditions as knowledge’ (Andersen et. al., 2011). While Adivasis, since the colonial epoch,  were dismissed as voiceless ‘people without history’ this book demolishes this spurious myth  by a captivating discussion on </w:t>
      </w:r>
      <w:proofErr w:type="spellStart"/>
      <w:r>
        <w:rPr>
          <w:rFonts w:ascii="Times New Roman" w:eastAsia="Times New Roman" w:hAnsi="Times New Roman" w:cs="Times New Roman"/>
        </w:rPr>
        <w:t>Sagram</w:t>
      </w:r>
      <w:proofErr w:type="spellEnd"/>
      <w:r>
        <w:rPr>
          <w:rFonts w:ascii="Times New Roman" w:eastAsia="Times New Roman" w:hAnsi="Times New Roman" w:cs="Times New Roman"/>
        </w:rPr>
        <w:t xml:space="preserve"> Murmu’s role as an ‘Adivasi writer, who remodel[ed]  tradition, by putting [Adivasi] history on the cultural and political agendas (ibid., p. 30; Wolf,  1982; Bleie, 2023, pp. 188-188, 190-191). Murmu appears to have been instrumental in the  collection, compilation and documentation of the Norwegian missionary P.O. </w:t>
      </w:r>
      <w:proofErr w:type="spellStart"/>
      <w:r>
        <w:rPr>
          <w:rFonts w:ascii="Times New Roman" w:eastAsia="Times New Roman" w:hAnsi="Times New Roman" w:cs="Times New Roman"/>
        </w:rPr>
        <w:t>Bodding’s</w:t>
      </w:r>
      <w:proofErr w:type="spellEnd"/>
      <w:r>
        <w:rPr>
          <w:rFonts w:ascii="Times New Roman" w:eastAsia="Times New Roman" w:hAnsi="Times New Roman" w:cs="Times New Roman"/>
        </w:rPr>
        <w:t xml:space="preserve"> </w:t>
      </w:r>
    </w:p>
    <w:p w14:paraId="680FD641" w14:textId="77777777" w:rsidR="003934E1" w:rsidRDefault="00000000">
      <w:pPr>
        <w:widowControl w:val="0"/>
        <w:ind w:right="53"/>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14 </w:t>
      </w:r>
    </w:p>
    <w:p w14:paraId="429B7A64"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61B3350E" w14:textId="77777777" w:rsidR="003934E1" w:rsidRDefault="00000000">
      <w:pPr>
        <w:widowControl w:val="0"/>
        <w:spacing w:before="579" w:line="336" w:lineRule="auto"/>
        <w:ind w:left="1" w:right="-5" w:firstLine="14"/>
        <w:jc w:val="both"/>
        <w:rPr>
          <w:rFonts w:ascii="Times New Roman" w:eastAsia="Times New Roman" w:hAnsi="Times New Roman" w:cs="Times New Roman"/>
        </w:rPr>
      </w:pPr>
      <w:r>
        <w:rPr>
          <w:rFonts w:ascii="Times New Roman" w:eastAsia="Times New Roman" w:hAnsi="Times New Roman" w:cs="Times New Roman"/>
        </w:rPr>
        <w:t xml:space="preserve">collated work on the Santali folktales. In addition, one finds a brief mention of an old Santali  sage </w:t>
      </w:r>
      <w:proofErr w:type="spellStart"/>
      <w:r>
        <w:rPr>
          <w:rFonts w:ascii="Times New Roman" w:eastAsia="Times New Roman" w:hAnsi="Times New Roman" w:cs="Times New Roman"/>
        </w:rPr>
        <w:t>Kòlèan</w:t>
      </w:r>
      <w:proofErr w:type="spellEnd"/>
      <w:r>
        <w:rPr>
          <w:rFonts w:ascii="Times New Roman" w:eastAsia="Times New Roman" w:hAnsi="Times New Roman" w:cs="Times New Roman"/>
        </w:rPr>
        <w:t xml:space="preserve"> (or </w:t>
      </w:r>
      <w:proofErr w:type="spellStart"/>
      <w:r>
        <w:rPr>
          <w:rFonts w:ascii="Times New Roman" w:eastAsia="Times New Roman" w:hAnsi="Times New Roman" w:cs="Times New Roman"/>
        </w:rPr>
        <w:t>Kalyãṇa</w:t>
      </w:r>
      <w:proofErr w:type="spellEnd"/>
      <w:r>
        <w:rPr>
          <w:rFonts w:ascii="Times New Roman" w:eastAsia="Times New Roman" w:hAnsi="Times New Roman" w:cs="Times New Roman"/>
        </w:rPr>
        <w:t xml:space="preserve">), who narrated the traditions and social aspects of his people to  </w:t>
      </w:r>
      <w:proofErr w:type="spellStart"/>
      <w:r>
        <w:rPr>
          <w:rFonts w:ascii="Times New Roman" w:eastAsia="Times New Roman" w:hAnsi="Times New Roman" w:cs="Times New Roman"/>
        </w:rPr>
        <w:t>Bodding’s</w:t>
      </w:r>
      <w:proofErr w:type="spellEnd"/>
      <w:r>
        <w:rPr>
          <w:rFonts w:ascii="Times New Roman" w:eastAsia="Times New Roman" w:hAnsi="Times New Roman" w:cs="Times New Roman"/>
        </w:rPr>
        <w:t xml:space="preserve"> predecessor, L.O. </w:t>
      </w:r>
      <w:proofErr w:type="spellStart"/>
      <w:r>
        <w:rPr>
          <w:rFonts w:ascii="Times New Roman" w:eastAsia="Times New Roman" w:hAnsi="Times New Roman" w:cs="Times New Roman"/>
        </w:rPr>
        <w:t>Skrefsrud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Chaterji</w:t>
      </w:r>
      <w:proofErr w:type="spellEnd"/>
      <w:r>
        <w:rPr>
          <w:rFonts w:ascii="Times New Roman" w:eastAsia="Times New Roman" w:hAnsi="Times New Roman" w:cs="Times New Roman"/>
        </w:rPr>
        <w:t xml:space="preserve">, 1923, p. 466). In 1887, the latter documented  </w:t>
      </w:r>
      <w:r>
        <w:rPr>
          <w:rFonts w:ascii="Times New Roman" w:eastAsia="Times New Roman" w:hAnsi="Times New Roman" w:cs="Times New Roman"/>
          <w:sz w:val="40"/>
          <w:szCs w:val="40"/>
          <w:vertAlign w:val="superscript"/>
        </w:rPr>
        <w:t xml:space="preserve">and published </w:t>
      </w:r>
      <w:proofErr w:type="spellStart"/>
      <w:r>
        <w:rPr>
          <w:rFonts w:ascii="Times New Roman" w:eastAsia="Times New Roman" w:hAnsi="Times New Roman" w:cs="Times New Roman"/>
          <w:sz w:val="40"/>
          <w:szCs w:val="40"/>
          <w:vertAlign w:val="superscript"/>
        </w:rPr>
        <w:t>Kòlèan’s</w:t>
      </w:r>
      <w:proofErr w:type="spellEnd"/>
      <w:r>
        <w:rPr>
          <w:rFonts w:ascii="Times New Roman" w:eastAsia="Times New Roman" w:hAnsi="Times New Roman" w:cs="Times New Roman"/>
          <w:sz w:val="40"/>
          <w:szCs w:val="40"/>
          <w:vertAlign w:val="superscript"/>
        </w:rPr>
        <w:t xml:space="preserve"> original account in Santali as the ‘great classic,’ </w:t>
      </w:r>
      <w:proofErr w:type="spellStart"/>
      <w:r>
        <w:rPr>
          <w:rFonts w:ascii="Times New Roman" w:eastAsia="Times New Roman" w:hAnsi="Times New Roman" w:cs="Times New Roman"/>
          <w:i/>
          <w:sz w:val="40"/>
          <w:szCs w:val="40"/>
          <w:vertAlign w:val="superscript"/>
        </w:rPr>
        <w:t>Hòṛ</w:t>
      </w:r>
      <w:r>
        <w:rPr>
          <w:rFonts w:ascii="Times New Roman" w:eastAsia="Times New Roman" w:hAnsi="Times New Roman" w:cs="Times New Roman"/>
          <w:sz w:val="40"/>
          <w:szCs w:val="40"/>
          <w:u w:val="single"/>
          <w:vertAlign w:val="superscript"/>
        </w:rPr>
        <w:t>ǩ</w:t>
      </w:r>
      <w:r>
        <w:rPr>
          <w:rFonts w:ascii="Times New Roman" w:eastAsia="Times New Roman" w:hAnsi="Times New Roman" w:cs="Times New Roman"/>
          <w:i/>
          <w:sz w:val="40"/>
          <w:szCs w:val="40"/>
          <w:vertAlign w:val="superscript"/>
        </w:rPr>
        <w:t>orèn</w:t>
      </w:r>
      <w:proofErr w:type="spellEnd"/>
      <w:r>
        <w:rPr>
          <w:rFonts w:ascii="Times New Roman" w:eastAsia="Times New Roman" w:hAnsi="Times New Roman" w:cs="Times New Roman"/>
          <w:i/>
          <w:sz w:val="40"/>
          <w:szCs w:val="40"/>
          <w:vertAlign w:val="superscript"/>
        </w:rPr>
        <w:t xml:space="preserve"> </w:t>
      </w:r>
      <w:proofErr w:type="spellStart"/>
      <w:r>
        <w:rPr>
          <w:rFonts w:ascii="Times New Roman" w:eastAsia="Times New Roman" w:hAnsi="Times New Roman" w:cs="Times New Roman"/>
          <w:i/>
          <w:sz w:val="40"/>
          <w:szCs w:val="40"/>
          <w:vertAlign w:val="superscript"/>
        </w:rPr>
        <w:t>Mar</w:t>
      </w:r>
      <w:r>
        <w:rPr>
          <w:rFonts w:ascii="Times New Roman" w:eastAsia="Times New Roman" w:hAnsi="Times New Roman" w:cs="Times New Roman"/>
          <w:i/>
          <w:sz w:val="40"/>
          <w:szCs w:val="40"/>
          <w:vertAlign w:val="subscript"/>
        </w:rPr>
        <w:t>̀</w:t>
      </w:r>
      <w:r>
        <w:rPr>
          <w:rFonts w:ascii="Times New Roman" w:eastAsia="Times New Roman" w:hAnsi="Times New Roman" w:cs="Times New Roman"/>
          <w:i/>
        </w:rPr>
        <w:t>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Hapṛamko-reak</w:t>
      </w:r>
      <w:proofErr w:type="spellEnd"/>
      <w:r>
        <w:rPr>
          <w:rFonts w:ascii="Times New Roman" w:eastAsia="Times New Roman" w:hAnsi="Times New Roman" w:cs="Times New Roman"/>
          <w:i/>
        </w:rPr>
        <w:t xml:space="preserve"> Katha </w:t>
      </w:r>
      <w:r>
        <w:rPr>
          <w:rFonts w:ascii="Times New Roman" w:eastAsia="Times New Roman" w:hAnsi="Times New Roman" w:cs="Times New Roman"/>
        </w:rPr>
        <w:t xml:space="preserve">(roughly translates to ‘The Story of Massacre’) (ibid.). Apart from  </w:t>
      </w:r>
      <w:proofErr w:type="spellStart"/>
      <w:r>
        <w:rPr>
          <w:rFonts w:ascii="Times New Roman" w:eastAsia="Times New Roman" w:hAnsi="Times New Roman" w:cs="Times New Roman"/>
        </w:rPr>
        <w:t>Sagram</w:t>
      </w:r>
      <w:proofErr w:type="spellEnd"/>
      <w:r>
        <w:rPr>
          <w:rFonts w:ascii="Times New Roman" w:eastAsia="Times New Roman" w:hAnsi="Times New Roman" w:cs="Times New Roman"/>
        </w:rPr>
        <w:t xml:space="preserve"> Murmu and </w:t>
      </w:r>
      <w:proofErr w:type="spellStart"/>
      <w:r>
        <w:rPr>
          <w:rFonts w:ascii="Times New Roman" w:eastAsia="Times New Roman" w:hAnsi="Times New Roman" w:cs="Times New Roman"/>
        </w:rPr>
        <w:t>Kòlèan</w:t>
      </w:r>
      <w:proofErr w:type="spellEnd"/>
      <w:r>
        <w:rPr>
          <w:rFonts w:ascii="Times New Roman" w:eastAsia="Times New Roman" w:hAnsi="Times New Roman" w:cs="Times New Roman"/>
        </w:rPr>
        <w:t xml:space="preserve">, stray references to </w:t>
      </w:r>
      <w:proofErr w:type="spellStart"/>
      <w:r>
        <w:rPr>
          <w:rFonts w:ascii="Times New Roman" w:eastAsia="Times New Roman" w:hAnsi="Times New Roman" w:cs="Times New Roman"/>
        </w:rPr>
        <w:t>Phagu</w:t>
      </w:r>
      <w:proofErr w:type="spellEnd"/>
      <w:r>
        <w:rPr>
          <w:rFonts w:ascii="Times New Roman" w:eastAsia="Times New Roman" w:hAnsi="Times New Roman" w:cs="Times New Roman"/>
        </w:rPr>
        <w:t xml:space="preserve">, a Santali village elder, Sargam Murmu’s  wife, and other Santali ‘collaborators’ can also be located.  </w:t>
      </w:r>
    </w:p>
    <w:p w14:paraId="3307350D" w14:textId="77777777" w:rsidR="003934E1" w:rsidRDefault="00000000">
      <w:pPr>
        <w:widowControl w:val="0"/>
        <w:spacing w:before="32" w:line="339" w:lineRule="auto"/>
        <w:ind w:left="7" w:right="-4" w:firstLine="568"/>
        <w:jc w:val="both"/>
        <w:rPr>
          <w:rFonts w:ascii="Times New Roman" w:eastAsia="Times New Roman" w:hAnsi="Times New Roman" w:cs="Times New Roman"/>
        </w:rPr>
      </w:pPr>
      <w:r>
        <w:rPr>
          <w:rFonts w:ascii="Times New Roman" w:eastAsia="Times New Roman" w:hAnsi="Times New Roman" w:cs="Times New Roman"/>
        </w:rPr>
        <w:t xml:space="preserve">Yet, there is a serious dearth of such works in the case of Adivasis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It is  essential to recognise that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Uraons</w:t>
      </w:r>
      <w:proofErr w:type="spellEnd"/>
      <w:r>
        <w:rPr>
          <w:rFonts w:ascii="Times New Roman" w:eastAsia="Times New Roman" w:hAnsi="Times New Roman" w:cs="Times New Roman"/>
        </w:rPr>
        <w:t xml:space="preserve"> did not invent any system of writing, nor  did they adopt one from the others until the first half of the 19</w:t>
      </w:r>
      <w:r>
        <w:rPr>
          <w:rFonts w:ascii="Times New Roman" w:eastAsia="Times New Roman" w:hAnsi="Times New Roman" w:cs="Times New Roman"/>
          <w:sz w:val="26"/>
          <w:szCs w:val="26"/>
          <w:vertAlign w:val="superscript"/>
        </w:rPr>
        <w:t xml:space="preserve">th </w:t>
      </w:r>
      <w:r>
        <w:rPr>
          <w:rFonts w:ascii="Times New Roman" w:eastAsia="Times New Roman" w:hAnsi="Times New Roman" w:cs="Times New Roman"/>
        </w:rPr>
        <w:t xml:space="preserve">century, when they were  acquainted with Western education. One is restricted by the Adivasis’ reticent nature, as a  popular dictum goes, ‘the </w:t>
      </w:r>
      <w:proofErr w:type="spellStart"/>
      <w:r>
        <w:rPr>
          <w:rFonts w:ascii="Times New Roman" w:eastAsia="Times New Roman" w:hAnsi="Times New Roman" w:cs="Times New Roman"/>
        </w:rPr>
        <w:t>kol</w:t>
      </w:r>
      <w:proofErr w:type="spellEnd"/>
      <w:r>
        <w:rPr>
          <w:rFonts w:ascii="Times New Roman" w:eastAsia="Times New Roman" w:hAnsi="Times New Roman" w:cs="Times New Roman"/>
        </w:rPr>
        <w:t xml:space="preserve"> knows more than he willingly reveals’ (Griffiths, 1944, p. 278). This requires a thorough and careful sifting of the archives to dish out critical observations of  the Jesuit missionaries such as John B. Hoffmann and A. Van Emelen, who extracted and  </w:t>
      </w:r>
      <w:r>
        <w:rPr>
          <w:rFonts w:ascii="Times New Roman" w:eastAsia="Times New Roman" w:hAnsi="Times New Roman" w:cs="Times New Roman"/>
        </w:rPr>
        <w:lastRenderedPageBreak/>
        <w:t>collated valuable information since the 19</w:t>
      </w:r>
      <w:r>
        <w:rPr>
          <w:rFonts w:ascii="Times New Roman" w:eastAsia="Times New Roman" w:hAnsi="Times New Roman" w:cs="Times New Roman"/>
          <w:sz w:val="26"/>
          <w:szCs w:val="26"/>
          <w:vertAlign w:val="superscript"/>
        </w:rPr>
        <w:t xml:space="preserve">th </w:t>
      </w:r>
      <w:r>
        <w:rPr>
          <w:rFonts w:ascii="Times New Roman" w:eastAsia="Times New Roman" w:hAnsi="Times New Roman" w:cs="Times New Roman"/>
        </w:rPr>
        <w:t xml:space="preserve">century by establishing an intimate rapport with the  Adivasi societies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In a striking resemblance to their Santali counterparts,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Uraons</w:t>
      </w:r>
      <w:proofErr w:type="spellEnd"/>
      <w:r>
        <w:rPr>
          <w:rFonts w:ascii="Times New Roman" w:eastAsia="Times New Roman" w:hAnsi="Times New Roman" w:cs="Times New Roman"/>
        </w:rPr>
        <w:t xml:space="preserve"> actively collaborated with Hoffmann and Emelen in the painstaking  documentation of their societies, languages, customs, usages, belief systems, and cultural  traditions. As the first-generation elementary-educated Adivasis, trained in Roman script  writing, they diligently penned rare accounts on the lives of their brethren.  </w:t>
      </w:r>
    </w:p>
    <w:p w14:paraId="368AFAD5" w14:textId="77777777" w:rsidR="003934E1" w:rsidRDefault="00000000">
      <w:pPr>
        <w:widowControl w:val="0"/>
        <w:spacing w:before="33" w:line="344" w:lineRule="auto"/>
        <w:ind w:right="-6" w:firstLine="578"/>
        <w:jc w:val="both"/>
        <w:rPr>
          <w:rFonts w:ascii="Times New Roman" w:eastAsia="Times New Roman" w:hAnsi="Times New Roman" w:cs="Times New Roman"/>
        </w:rPr>
      </w:pPr>
      <w:proofErr w:type="spellStart"/>
      <w:r>
        <w:rPr>
          <w:rFonts w:ascii="Times New Roman" w:eastAsia="Times New Roman" w:hAnsi="Times New Roman" w:cs="Times New Roman"/>
        </w:rPr>
        <w:t>Menas</w:t>
      </w:r>
      <w:proofErr w:type="spellEnd"/>
      <w:r>
        <w:rPr>
          <w:rFonts w:ascii="Times New Roman" w:eastAsia="Times New Roman" w:hAnsi="Times New Roman" w:cs="Times New Roman"/>
        </w:rPr>
        <w:t xml:space="preserve"> Orea, a Munda teacher and ‘indefatigable researcher,’ teacher, and healer, often  called ‘a treasure-house of [the] Mundari culture,’ emerged as one such collaborator in the  voluminous </w:t>
      </w:r>
      <w:r>
        <w:rPr>
          <w:rFonts w:ascii="Times New Roman" w:eastAsia="Times New Roman" w:hAnsi="Times New Roman" w:cs="Times New Roman"/>
          <w:i/>
        </w:rPr>
        <w:t xml:space="preserve">Encyclopaedia </w:t>
      </w:r>
      <w:proofErr w:type="spellStart"/>
      <w:r>
        <w:rPr>
          <w:rFonts w:ascii="Times New Roman" w:eastAsia="Times New Roman" w:hAnsi="Times New Roman" w:cs="Times New Roman"/>
          <w:i/>
        </w:rPr>
        <w:t>Mundarica</w:t>
      </w:r>
      <w:proofErr w:type="spellEnd"/>
      <w:r>
        <w:rPr>
          <w:rFonts w:ascii="Times New Roman" w:eastAsia="Times New Roman" w:hAnsi="Times New Roman" w:cs="Times New Roman"/>
          <w:i/>
        </w:rPr>
        <w:t xml:space="preserve"> </w:t>
      </w:r>
      <w:r>
        <w:rPr>
          <w:rFonts w:ascii="Times New Roman" w:eastAsia="Times New Roman" w:hAnsi="Times New Roman" w:cs="Times New Roman"/>
        </w:rPr>
        <w:t>by Hoffmann and Emelen (</w:t>
      </w:r>
      <w:proofErr w:type="spellStart"/>
      <w:r>
        <w:rPr>
          <w:rFonts w:ascii="Times New Roman" w:eastAsia="Times New Roman" w:hAnsi="Times New Roman" w:cs="Times New Roman"/>
        </w:rPr>
        <w:t>Ponette</w:t>
      </w:r>
      <w:proofErr w:type="spellEnd"/>
      <w:r>
        <w:rPr>
          <w:rFonts w:ascii="Times New Roman" w:eastAsia="Times New Roman" w:hAnsi="Times New Roman" w:cs="Times New Roman"/>
        </w:rPr>
        <w:t xml:space="preserve">, 1978, pp. 145-146).  Jesuit missionary Pierre </w:t>
      </w:r>
      <w:proofErr w:type="spellStart"/>
      <w:r>
        <w:rPr>
          <w:rFonts w:ascii="Times New Roman" w:eastAsia="Times New Roman" w:hAnsi="Times New Roman" w:cs="Times New Roman"/>
        </w:rPr>
        <w:t>Ponette’s</w:t>
      </w:r>
      <w:proofErr w:type="spellEnd"/>
      <w:r>
        <w:rPr>
          <w:rFonts w:ascii="Times New Roman" w:eastAsia="Times New Roman" w:hAnsi="Times New Roman" w:cs="Times New Roman"/>
        </w:rPr>
        <w:t xml:space="preserve"> work, </w:t>
      </w:r>
      <w:r>
        <w:rPr>
          <w:rFonts w:ascii="Times New Roman" w:eastAsia="Times New Roman" w:hAnsi="Times New Roman" w:cs="Times New Roman"/>
          <w:i/>
        </w:rPr>
        <w:t>The Munda World: Hoffman Commemoration Volume</w:t>
      </w:r>
      <w:r>
        <w:rPr>
          <w:rFonts w:ascii="Times New Roman" w:eastAsia="Times New Roman" w:hAnsi="Times New Roman" w:cs="Times New Roman"/>
        </w:rPr>
        <w:t xml:space="preserve">,  presents a fleeting discussion of Orea’s literary contributions (ibid.). Hailing from the </w:t>
      </w:r>
      <w:proofErr w:type="spellStart"/>
      <w:r>
        <w:rPr>
          <w:rFonts w:ascii="Times New Roman" w:eastAsia="Times New Roman" w:hAnsi="Times New Roman" w:cs="Times New Roman"/>
        </w:rPr>
        <w:t>Buruma</w:t>
      </w:r>
      <w:proofErr w:type="spellEnd"/>
      <w:r>
        <w:rPr>
          <w:rFonts w:ascii="Times New Roman" w:eastAsia="Times New Roman" w:hAnsi="Times New Roman" w:cs="Times New Roman"/>
        </w:rPr>
        <w:t xml:space="preserve">  town, near </w:t>
      </w:r>
      <w:proofErr w:type="spellStart"/>
      <w:r>
        <w:rPr>
          <w:rFonts w:ascii="Times New Roman" w:eastAsia="Times New Roman" w:hAnsi="Times New Roman" w:cs="Times New Roman"/>
        </w:rPr>
        <w:t>Sarwada</w:t>
      </w:r>
      <w:proofErr w:type="spellEnd"/>
      <w:r>
        <w:rPr>
          <w:rFonts w:ascii="Times New Roman" w:eastAsia="Times New Roman" w:hAnsi="Times New Roman" w:cs="Times New Roman"/>
        </w:rPr>
        <w:t xml:space="preserve"> of the Munda region in the present-day Jharkhand, </w:t>
      </w:r>
      <w:proofErr w:type="spellStart"/>
      <w:r>
        <w:rPr>
          <w:rFonts w:ascii="Times New Roman" w:eastAsia="Times New Roman" w:hAnsi="Times New Roman" w:cs="Times New Roman"/>
        </w:rPr>
        <w:t>Menas</w:t>
      </w:r>
      <w:proofErr w:type="spellEnd"/>
      <w:r>
        <w:rPr>
          <w:rFonts w:ascii="Times New Roman" w:eastAsia="Times New Roman" w:hAnsi="Times New Roman" w:cs="Times New Roman"/>
        </w:rPr>
        <w:t xml:space="preserve"> Orea prepared  over a 1000-page foolscap ‘mini-encyclopaedia’ on the Munda peasantry. Popularly known as  </w:t>
      </w:r>
      <w:r>
        <w:rPr>
          <w:rFonts w:ascii="Times New Roman" w:eastAsia="Times New Roman" w:hAnsi="Times New Roman" w:cs="Times New Roman"/>
          <w:i/>
        </w:rPr>
        <w:t xml:space="preserve">Matura </w:t>
      </w:r>
      <w:proofErr w:type="spellStart"/>
      <w:r>
        <w:rPr>
          <w:rFonts w:ascii="Times New Roman" w:eastAsia="Times New Roman" w:hAnsi="Times New Roman" w:cs="Times New Roman"/>
          <w:i/>
        </w:rPr>
        <w:t>Kãni</w:t>
      </w:r>
      <w:proofErr w:type="spellEnd"/>
      <w:r>
        <w:rPr>
          <w:rFonts w:ascii="Times New Roman" w:eastAsia="Times New Roman" w:hAnsi="Times New Roman" w:cs="Times New Roman"/>
        </w:rPr>
        <w:t xml:space="preserve">, his narrative encompassed the historic occurrences that jolted the Munda world,  emphasising the developments since the late 1880s - the intricacies of the </w:t>
      </w:r>
      <w:r>
        <w:rPr>
          <w:rFonts w:ascii="Times New Roman" w:eastAsia="Times New Roman" w:hAnsi="Times New Roman" w:cs="Times New Roman"/>
          <w:i/>
        </w:rPr>
        <w:t>Sardari Larai</w:t>
      </w:r>
      <w:r>
        <w:rPr>
          <w:rFonts w:ascii="Times New Roman" w:eastAsia="Times New Roman" w:hAnsi="Times New Roman" w:cs="Times New Roman"/>
        </w:rPr>
        <w:t xml:space="preserve">, the  rise of Birsa, and the </w:t>
      </w:r>
      <w:proofErr w:type="spellStart"/>
      <w:r>
        <w:rPr>
          <w:rFonts w:ascii="Times New Roman" w:eastAsia="Times New Roman" w:hAnsi="Times New Roman" w:cs="Times New Roman"/>
          <w:i/>
        </w:rPr>
        <w:t>Ulgulan</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(Orea, 1986). Orea’s unadulterated transliteration of the ‘comic  and sad’ fables and ‘descriptions of domestic scenes,’ in this rare unpublished gem, serves as a  pivotal point of departure in Adivasi epistemes.  </w:t>
      </w:r>
    </w:p>
    <w:p w14:paraId="0CC57F52" w14:textId="77777777" w:rsidR="003934E1" w:rsidRDefault="00000000">
      <w:pPr>
        <w:widowControl w:val="0"/>
        <w:spacing w:before="30" w:line="343" w:lineRule="auto"/>
        <w:ind w:left="9" w:right="-5" w:firstLine="567"/>
        <w:rPr>
          <w:rFonts w:ascii="Times New Roman" w:eastAsia="Times New Roman" w:hAnsi="Times New Roman" w:cs="Times New Roman"/>
        </w:rPr>
      </w:pPr>
      <w:r>
        <w:rPr>
          <w:rFonts w:ascii="Times New Roman" w:eastAsia="Times New Roman" w:hAnsi="Times New Roman" w:cs="Times New Roman"/>
        </w:rPr>
        <w:t xml:space="preserve">Within this framework, collective memory operates as one of the mechanisms through  which methodologies and epistemologies are mediated in the Adivasi context (Samaddar, </w:t>
      </w:r>
    </w:p>
    <w:p w14:paraId="0FB21A46" w14:textId="77777777" w:rsidR="003934E1" w:rsidRDefault="00000000">
      <w:pPr>
        <w:widowControl w:val="0"/>
        <w:ind w:right="53"/>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15 </w:t>
      </w:r>
    </w:p>
    <w:p w14:paraId="3EA6ACB9"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1B3CFF04" w14:textId="77777777" w:rsidR="003934E1" w:rsidRDefault="00000000">
      <w:pPr>
        <w:widowControl w:val="0"/>
        <w:spacing w:before="579" w:line="344" w:lineRule="auto"/>
        <w:ind w:left="7" w:right="-5" w:firstLine="5"/>
        <w:jc w:val="both"/>
        <w:rPr>
          <w:rFonts w:ascii="Times New Roman" w:eastAsia="Times New Roman" w:hAnsi="Times New Roman" w:cs="Times New Roman"/>
        </w:rPr>
      </w:pPr>
      <w:r>
        <w:rPr>
          <w:rFonts w:ascii="Times New Roman" w:eastAsia="Times New Roman" w:hAnsi="Times New Roman" w:cs="Times New Roman"/>
        </w:rPr>
        <w:t xml:space="preserve">2013). As equal actors, other than the British and the </w:t>
      </w:r>
      <w:proofErr w:type="spellStart"/>
      <w:r>
        <w:rPr>
          <w:rFonts w:ascii="Times New Roman" w:eastAsia="Times New Roman" w:hAnsi="Times New Roman" w:cs="Times New Roman"/>
          <w:i/>
        </w:rPr>
        <w:t>dikus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(outsiders), in shaping the ‘South  Asian realities,’ the Adivasis invoked the memory of their glorious past to reclaim their land  rights and autonomy. In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enthused by the recognition of the </w:t>
      </w:r>
      <w:proofErr w:type="spellStart"/>
      <w:r>
        <w:rPr>
          <w:rFonts w:ascii="Times New Roman" w:eastAsia="Times New Roman" w:hAnsi="Times New Roman" w:cs="Times New Roman"/>
          <w:i/>
        </w:rPr>
        <w:t>bhuinhari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question  and inspired by the animated debates on it, the </w:t>
      </w:r>
      <w:r>
        <w:rPr>
          <w:rFonts w:ascii="Times New Roman" w:eastAsia="Times New Roman" w:hAnsi="Times New Roman" w:cs="Times New Roman"/>
          <w:i/>
        </w:rPr>
        <w:t xml:space="preserve">Sardari Larai </w:t>
      </w:r>
      <w:r>
        <w:rPr>
          <w:rFonts w:ascii="Times New Roman" w:eastAsia="Times New Roman" w:hAnsi="Times New Roman" w:cs="Times New Roman"/>
        </w:rPr>
        <w:t xml:space="preserve">assumed a more aggressive and  radical tone. In 1869, amidst the heightened aspirations during </w:t>
      </w:r>
      <w:r>
        <w:rPr>
          <w:rFonts w:ascii="Times New Roman" w:eastAsia="Times New Roman" w:hAnsi="Times New Roman" w:cs="Times New Roman"/>
          <w:i/>
        </w:rPr>
        <w:t>Sardari Larai</w:t>
      </w:r>
      <w:r>
        <w:rPr>
          <w:rFonts w:ascii="Times New Roman" w:eastAsia="Times New Roman" w:hAnsi="Times New Roman" w:cs="Times New Roman"/>
        </w:rPr>
        <w:t xml:space="preserve">, a vocal Munda  was heard impressing upon Dalton the criticality of </w:t>
      </w:r>
      <w:proofErr w:type="spellStart"/>
      <w:r>
        <w:rPr>
          <w:rFonts w:ascii="Times New Roman" w:eastAsia="Times New Roman" w:hAnsi="Times New Roman" w:cs="Times New Roman"/>
          <w:i/>
        </w:rPr>
        <w:t>bhuinhari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lands and questioning the  occupation by the outsiders: ‘We claim </w:t>
      </w:r>
      <w:proofErr w:type="spellStart"/>
      <w:r>
        <w:rPr>
          <w:rFonts w:ascii="Times New Roman" w:eastAsia="Times New Roman" w:hAnsi="Times New Roman" w:cs="Times New Roman"/>
        </w:rPr>
        <w:t>bhuinhari</w:t>
      </w:r>
      <w:proofErr w:type="spellEnd"/>
      <w:r>
        <w:rPr>
          <w:rFonts w:ascii="Times New Roman" w:eastAsia="Times New Roman" w:hAnsi="Times New Roman" w:cs="Times New Roman"/>
        </w:rPr>
        <w:t xml:space="preserve"> rights because </w:t>
      </w:r>
      <w:proofErr w:type="spellStart"/>
      <w:r>
        <w:rPr>
          <w:rFonts w:ascii="Times New Roman" w:eastAsia="Times New Roman" w:hAnsi="Times New Roman" w:cs="Times New Roman"/>
        </w:rPr>
        <w:t>Nagpore</w:t>
      </w:r>
      <w:proofErr w:type="spellEnd"/>
      <w:r>
        <w:rPr>
          <w:rFonts w:ascii="Times New Roman" w:eastAsia="Times New Roman" w:hAnsi="Times New Roman" w:cs="Times New Roman"/>
        </w:rPr>
        <w:t xml:space="preserve"> is our fatherland’  (PRCAD, Vol. I, n.d., p. 130). Displaying a similar spirit, though in a different context, a Santali  religious teacher during the </w:t>
      </w:r>
      <w:proofErr w:type="spellStart"/>
      <w:r>
        <w:rPr>
          <w:rFonts w:ascii="Times New Roman" w:eastAsia="Times New Roman" w:hAnsi="Times New Roman" w:cs="Times New Roman"/>
          <w:i/>
        </w:rPr>
        <w:t>Kherwar</w:t>
      </w:r>
      <w:proofErr w:type="spellEnd"/>
      <w:r>
        <w:rPr>
          <w:rFonts w:ascii="Times New Roman" w:eastAsia="Times New Roman" w:hAnsi="Times New Roman" w:cs="Times New Roman"/>
          <w:i/>
        </w:rPr>
        <w:t xml:space="preserve"> </w:t>
      </w:r>
      <w:r>
        <w:rPr>
          <w:rFonts w:ascii="Times New Roman" w:eastAsia="Times New Roman" w:hAnsi="Times New Roman" w:cs="Times New Roman"/>
        </w:rPr>
        <w:t>Movement in the Santal Parganas reminisced, ‘We  cleared the hill country and the forest country at our own expense for the new landlords…, and  they gradually increased the rents for us’ (</w:t>
      </w:r>
      <w:proofErr w:type="spellStart"/>
      <w:r>
        <w:rPr>
          <w:rFonts w:ascii="Times New Roman" w:eastAsia="Times New Roman" w:hAnsi="Times New Roman" w:cs="Times New Roman"/>
        </w:rPr>
        <w:t>Bodding</w:t>
      </w:r>
      <w:proofErr w:type="spellEnd"/>
      <w:r>
        <w:rPr>
          <w:rFonts w:ascii="Times New Roman" w:eastAsia="Times New Roman" w:hAnsi="Times New Roman" w:cs="Times New Roman"/>
        </w:rPr>
        <w:t xml:space="preserve">, 1916, pp. 131, 189). Such evocations of  land and identity often underscored an aspiration for an Adivasi ‘nation’ (PRCAD, Vol. I, </w:t>
      </w:r>
      <w:r>
        <w:rPr>
          <w:rFonts w:ascii="Times New Roman" w:eastAsia="Times New Roman" w:hAnsi="Times New Roman" w:cs="Times New Roman"/>
        </w:rPr>
        <w:lastRenderedPageBreak/>
        <w:t xml:space="preserve">n.d.,  p. 125). </w:t>
      </w:r>
    </w:p>
    <w:p w14:paraId="0E0FECB6" w14:textId="77777777" w:rsidR="003934E1" w:rsidRDefault="00000000">
      <w:pPr>
        <w:widowControl w:val="0"/>
        <w:spacing w:before="27" w:line="344" w:lineRule="auto"/>
        <w:ind w:left="7" w:right="-5" w:firstLine="573"/>
        <w:jc w:val="both"/>
        <w:rPr>
          <w:rFonts w:ascii="Times New Roman" w:eastAsia="Times New Roman" w:hAnsi="Times New Roman" w:cs="Times New Roman"/>
        </w:rPr>
      </w:pPr>
      <w:r>
        <w:rPr>
          <w:rFonts w:ascii="Times New Roman" w:eastAsia="Times New Roman" w:hAnsi="Times New Roman" w:cs="Times New Roman"/>
        </w:rPr>
        <w:t xml:space="preserve">The Adivasis adopted diverse methods of protest by appropriating institutional elements  of British colonialism, Christianity, and Hinduism, besides making use of their own traditional  cultural resources (Andersen et. al., 2011; Carrine, 2022; Chaudhuri, 2022; Macdougall, 1985,  p. 238). Against being conceptually denigrated as lowly sub-human under the denial of rights,  the Adivasi were seen dialogically negotiating with different religious outfits in search of a  respectable concept of ‘tribe’ (J. Bara, 2009, p. 94). The </w:t>
      </w:r>
      <w:proofErr w:type="spellStart"/>
      <w:r>
        <w:rPr>
          <w:rFonts w:ascii="Times New Roman" w:eastAsia="Times New Roman" w:hAnsi="Times New Roman" w:cs="Times New Roman"/>
          <w:i/>
        </w:rPr>
        <w:t>Kherwars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in the Santal Parganas  utilised the ‘external resource’ of ‘</w:t>
      </w:r>
      <w:proofErr w:type="spellStart"/>
      <w:r>
        <w:rPr>
          <w:rFonts w:ascii="Times New Roman" w:eastAsia="Times New Roman" w:hAnsi="Times New Roman" w:cs="Times New Roman"/>
        </w:rPr>
        <w:t>Hinduised</w:t>
      </w:r>
      <w:proofErr w:type="spellEnd"/>
      <w:r>
        <w:rPr>
          <w:rFonts w:ascii="Times New Roman" w:eastAsia="Times New Roman" w:hAnsi="Times New Roman" w:cs="Times New Roman"/>
        </w:rPr>
        <w:t xml:space="preserve"> idioms’ while forging Adivasi solidarity in  opposition to census enumeration and exorbitant land rents (Andersen et. al., 2011, p. 22;  Macdougall, 1984, p. 238). Correspondingly, several Adivasi protestors switched over to the  new missionary messiah, Constant Lievens of the Belgian Jesuit mission, in the hope of  protection of their </w:t>
      </w:r>
      <w:proofErr w:type="spellStart"/>
      <w:r>
        <w:rPr>
          <w:rFonts w:ascii="Times New Roman" w:eastAsia="Times New Roman" w:hAnsi="Times New Roman" w:cs="Times New Roman"/>
          <w:i/>
        </w:rPr>
        <w:t>bhuinhari</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rights (de Sa, 1975, p. 90). Another assemblage of Christian  Adivasis, addressed as the ‘Children of Mael,’ was led by a certain ‘John the Baptist’ to reclaim  the erstwhile </w:t>
      </w:r>
      <w:proofErr w:type="spellStart"/>
      <w:r>
        <w:rPr>
          <w:rFonts w:ascii="Times New Roman" w:eastAsia="Times New Roman" w:hAnsi="Times New Roman" w:cs="Times New Roman"/>
        </w:rPr>
        <w:t>Chhotanagpur</w:t>
      </w:r>
      <w:proofErr w:type="spellEnd"/>
      <w:r>
        <w:rPr>
          <w:rFonts w:ascii="Times New Roman" w:eastAsia="Times New Roman" w:hAnsi="Times New Roman" w:cs="Times New Roman"/>
        </w:rPr>
        <w:t xml:space="preserve"> royal palace of </w:t>
      </w:r>
      <w:proofErr w:type="spellStart"/>
      <w:r>
        <w:rPr>
          <w:rFonts w:ascii="Times New Roman" w:eastAsia="Times New Roman" w:hAnsi="Times New Roman" w:cs="Times New Roman"/>
        </w:rPr>
        <w:t>Doisa</w:t>
      </w:r>
      <w:proofErr w:type="spellEnd"/>
      <w:r>
        <w:rPr>
          <w:rFonts w:ascii="Times New Roman" w:eastAsia="Times New Roman" w:hAnsi="Times New Roman" w:cs="Times New Roman"/>
        </w:rPr>
        <w:t xml:space="preserve"> and declared an independent ‘raj’ (PRCAD,  Vol. I, n.d., p. 125). Interestingly, the colonial narrative trivialised such initiatives of Adivasis  group as a moot episode of ‘restlessness and excitability’ (ibid., p. 90). </w:t>
      </w:r>
    </w:p>
    <w:p w14:paraId="13F8B4B2" w14:textId="77777777" w:rsidR="003934E1" w:rsidRDefault="00000000">
      <w:pPr>
        <w:widowControl w:val="0"/>
        <w:spacing w:before="30" w:line="344" w:lineRule="auto"/>
        <w:ind w:left="10" w:right="-5"/>
        <w:jc w:val="right"/>
        <w:rPr>
          <w:rFonts w:ascii="Times New Roman" w:eastAsia="Times New Roman" w:hAnsi="Times New Roman" w:cs="Times New Roman"/>
        </w:rPr>
      </w:pPr>
      <w:r>
        <w:rPr>
          <w:rFonts w:ascii="Times New Roman" w:eastAsia="Times New Roman" w:hAnsi="Times New Roman" w:cs="Times New Roman"/>
        </w:rPr>
        <w:t xml:space="preserve">As agitation with radical claims rose, canards and abuses of all sorts were hurled upon the Adivasi. Not only did the intolerant landlords indulge in it, but the colonial officials and  Christian missionaries alike also condemned the Adivasi. Irrespective of such recurrent  dismissals, the Sardari Larai leaders reiterated the fundamental idea of an Adivasi ‘nation’ in  their petition to the missionaries in 1887 by saying: ‘every nation has its own Government,  only we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Oraons</w:t>
      </w:r>
      <w:proofErr w:type="spellEnd"/>
      <w:r>
        <w:rPr>
          <w:rFonts w:ascii="Times New Roman" w:eastAsia="Times New Roman" w:hAnsi="Times New Roman" w:cs="Times New Roman"/>
        </w:rPr>
        <w:t xml:space="preserve"> have not’ (ibid., p. 127). In the surcharged situation, the protestors</w:t>
      </w:r>
    </w:p>
    <w:p w14:paraId="4738DB71" w14:textId="77777777" w:rsidR="003934E1" w:rsidRDefault="00000000">
      <w:pPr>
        <w:widowControl w:val="0"/>
        <w:ind w:right="53"/>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16 </w:t>
      </w:r>
    </w:p>
    <w:p w14:paraId="6B476287"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2C9BC523" w14:textId="77777777" w:rsidR="003934E1" w:rsidRDefault="00000000">
      <w:pPr>
        <w:widowControl w:val="0"/>
        <w:spacing w:before="579" w:line="344" w:lineRule="auto"/>
        <w:ind w:left="9" w:right="-5"/>
        <w:jc w:val="both"/>
        <w:rPr>
          <w:rFonts w:ascii="Times New Roman" w:eastAsia="Times New Roman" w:hAnsi="Times New Roman" w:cs="Times New Roman"/>
        </w:rPr>
      </w:pPr>
      <w:r>
        <w:rPr>
          <w:rFonts w:ascii="Times New Roman" w:eastAsia="Times New Roman" w:hAnsi="Times New Roman" w:cs="Times New Roman"/>
        </w:rPr>
        <w:t xml:space="preserve">raised slogans in the vein of ‘Chota </w:t>
      </w:r>
      <w:proofErr w:type="spellStart"/>
      <w:r>
        <w:rPr>
          <w:rFonts w:ascii="Times New Roman" w:eastAsia="Times New Roman" w:hAnsi="Times New Roman" w:cs="Times New Roman"/>
        </w:rPr>
        <w:t>Nagpore</w:t>
      </w:r>
      <w:proofErr w:type="spellEnd"/>
      <w:r>
        <w:rPr>
          <w:rFonts w:ascii="Times New Roman" w:eastAsia="Times New Roman" w:hAnsi="Times New Roman" w:cs="Times New Roman"/>
        </w:rPr>
        <w:t xml:space="preserve"> for the aborigines,’ ‘maintain your nationality,’  and ‘do not forsake the custom of your forefathers’ (Whitley, 1901, pp. 33-34). With the  increasing episodes of highhandedness, the agitating Adivasis exclaimed: ‘How can we expect  receiving justice from the hands of Special Commissioners, who by nature of their caste and  manners were foreigners to us and the friends and brethren of our enemies?’ (Gossner Mission,  1889, p. 23). </w:t>
      </w:r>
    </w:p>
    <w:p w14:paraId="6EE69F5C" w14:textId="77777777" w:rsidR="003934E1" w:rsidRDefault="00000000">
      <w:pPr>
        <w:widowControl w:val="0"/>
        <w:spacing w:before="30" w:line="341" w:lineRule="auto"/>
        <w:ind w:left="9" w:right="-5" w:firstLine="566"/>
        <w:jc w:val="both"/>
        <w:rPr>
          <w:rFonts w:ascii="Times New Roman" w:eastAsia="Times New Roman" w:hAnsi="Times New Roman" w:cs="Times New Roman"/>
        </w:rPr>
      </w:pPr>
      <w:r>
        <w:rPr>
          <w:rFonts w:ascii="Times New Roman" w:eastAsia="Times New Roman" w:hAnsi="Times New Roman" w:cs="Times New Roman"/>
          <w:i/>
        </w:rPr>
        <w:t>Sardari Larai</w:t>
      </w:r>
      <w:r>
        <w:rPr>
          <w:rFonts w:ascii="Times New Roman" w:eastAsia="Times New Roman" w:hAnsi="Times New Roman" w:cs="Times New Roman"/>
        </w:rPr>
        <w:t xml:space="preserve">, with marked radicalism on the eve of the Birsa </w:t>
      </w:r>
      <w:proofErr w:type="spellStart"/>
      <w:r>
        <w:rPr>
          <w:rFonts w:ascii="Times New Roman" w:eastAsia="Times New Roman" w:hAnsi="Times New Roman" w:cs="Times New Roman"/>
          <w:i/>
        </w:rPr>
        <w:t>Ulgulan</w:t>
      </w:r>
      <w:proofErr w:type="spellEnd"/>
      <w:r>
        <w:rPr>
          <w:rFonts w:ascii="Times New Roman" w:eastAsia="Times New Roman" w:hAnsi="Times New Roman" w:cs="Times New Roman"/>
        </w:rPr>
        <w:t xml:space="preserve">, prepared a  substantive background than is generally appreciated. In parallel, the Santal Parganas witnessed  the unfolding of the </w:t>
      </w:r>
      <w:proofErr w:type="spellStart"/>
      <w:r>
        <w:rPr>
          <w:rFonts w:ascii="Times New Roman" w:eastAsia="Times New Roman" w:hAnsi="Times New Roman" w:cs="Times New Roman"/>
          <w:i/>
        </w:rPr>
        <w:t>Kherwar</w:t>
      </w:r>
      <w:proofErr w:type="spellEnd"/>
      <w:r>
        <w:rPr>
          <w:rFonts w:ascii="Times New Roman" w:eastAsia="Times New Roman" w:hAnsi="Times New Roman" w:cs="Times New Roman"/>
          <w:i/>
        </w:rPr>
        <w:t xml:space="preserve"> Movement</w:t>
      </w:r>
      <w:r>
        <w:rPr>
          <w:rFonts w:ascii="Times New Roman" w:eastAsia="Times New Roman" w:hAnsi="Times New Roman" w:cs="Times New Roman"/>
        </w:rPr>
        <w:t xml:space="preserve">, with messianic and political undertones, </w:t>
      </w:r>
      <w:r>
        <w:rPr>
          <w:rFonts w:ascii="Times New Roman" w:eastAsia="Times New Roman" w:hAnsi="Times New Roman" w:cs="Times New Roman"/>
        </w:rPr>
        <w:lastRenderedPageBreak/>
        <w:t xml:space="preserve">as a sequel  to the </w:t>
      </w:r>
      <w:r>
        <w:rPr>
          <w:rFonts w:ascii="Times New Roman" w:eastAsia="Times New Roman" w:hAnsi="Times New Roman" w:cs="Times New Roman"/>
          <w:i/>
        </w:rPr>
        <w:t xml:space="preserve">Hul </w:t>
      </w:r>
      <w:r>
        <w:rPr>
          <w:rFonts w:ascii="Times New Roman" w:eastAsia="Times New Roman" w:hAnsi="Times New Roman" w:cs="Times New Roman"/>
        </w:rPr>
        <w:t>of 1855. Their theoretical underpinnings, grounded in anti-colonial resistance and  the restoration of sovereign rights over ancestral lands, beckon the presence of a dynamic  Adivasi psyche. In the rapidly evolving socio-political scenario of the 19</w:t>
      </w:r>
      <w:r>
        <w:rPr>
          <w:rFonts w:ascii="Times New Roman" w:eastAsia="Times New Roman" w:hAnsi="Times New Roman" w:cs="Times New Roman"/>
          <w:sz w:val="26"/>
          <w:szCs w:val="26"/>
          <w:vertAlign w:val="superscript"/>
        </w:rPr>
        <w:t xml:space="preserve">th </w:t>
      </w:r>
      <w:r>
        <w:rPr>
          <w:rFonts w:ascii="Times New Roman" w:eastAsia="Times New Roman" w:hAnsi="Times New Roman" w:cs="Times New Roman"/>
        </w:rPr>
        <w:t xml:space="preserve">century, unique  modes of Adivasi resistance also underwent constant transformations. In other words,  resistance, in Adivasi terms, could be found in their bows and arrows, silences, petitions,  folklores, songs, documented oralities, migrations, enumerations, religious conversions, and  adaptation of Western education and legal systems. Even though every Adivasi uprising arose  from its own ground realities, each was fundamentally linked to the other through a shared  history of dispossession and cultural dissonance. While reconfiguring their worlds, Adivasis of  central India evolved as ‘history-makers in their own right’ (Wolf, 1982, 23).  </w:t>
      </w:r>
    </w:p>
    <w:p w14:paraId="207C8FD9" w14:textId="77777777" w:rsidR="003934E1" w:rsidRDefault="00000000">
      <w:pPr>
        <w:widowControl w:val="0"/>
        <w:spacing w:before="445"/>
        <w:ind w:left="1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Towards reading Adivasi against the grain </w:t>
      </w:r>
    </w:p>
    <w:p w14:paraId="65A7423C" w14:textId="77777777" w:rsidR="003934E1" w:rsidRDefault="00000000">
      <w:pPr>
        <w:widowControl w:val="0"/>
        <w:spacing w:before="154" w:line="344" w:lineRule="auto"/>
        <w:ind w:left="7" w:right="-5" w:firstLine="573"/>
        <w:jc w:val="both"/>
        <w:rPr>
          <w:rFonts w:ascii="Times New Roman" w:eastAsia="Times New Roman" w:hAnsi="Times New Roman" w:cs="Times New Roman"/>
        </w:rPr>
      </w:pPr>
      <w:r>
        <w:rPr>
          <w:rFonts w:ascii="Times New Roman" w:eastAsia="Times New Roman" w:hAnsi="Times New Roman" w:cs="Times New Roman"/>
        </w:rPr>
        <w:t xml:space="preserve">To sum up, this study juxtaposes the multilayered modalities of the vibrant Adivasi mind  with a racially wired unilinear Eurocentrism. In doing so, it precisely charts the genealogy of  how the </w:t>
      </w:r>
      <w:proofErr w:type="spellStart"/>
      <w:r>
        <w:rPr>
          <w:rFonts w:ascii="Times New Roman" w:eastAsia="Times New Roman" w:hAnsi="Times New Roman" w:cs="Times New Roman"/>
        </w:rPr>
        <w:t>Sanskritised</w:t>
      </w:r>
      <w:proofErr w:type="spellEnd"/>
      <w:r>
        <w:rPr>
          <w:rFonts w:ascii="Times New Roman" w:eastAsia="Times New Roman" w:hAnsi="Times New Roman" w:cs="Times New Roman"/>
        </w:rPr>
        <w:t xml:space="preserve"> ‘tribe’ of the precolonial times metamorphosed into the ‘savage,’  ‘</w:t>
      </w:r>
      <w:proofErr w:type="spellStart"/>
      <w:r>
        <w:rPr>
          <w:rFonts w:ascii="Times New Roman" w:eastAsia="Times New Roman" w:hAnsi="Times New Roman" w:cs="Times New Roman"/>
        </w:rPr>
        <w:t>primitivised</w:t>
      </w:r>
      <w:proofErr w:type="spellEnd"/>
      <w:r>
        <w:rPr>
          <w:rFonts w:ascii="Times New Roman" w:eastAsia="Times New Roman" w:hAnsi="Times New Roman" w:cs="Times New Roman"/>
        </w:rPr>
        <w:t xml:space="preserve">’ and ‘criminal’ ‘tribe’ of the colonial era. On a careful scrutiny of the history of  Adivasi central India between 1850 and 1895, it has been observed that the British colonialists  built upon presupposed Brahminical conceptualisations. Based on empirical evidence, the  present chapter deduces that the ‘colonial creation of the tribe’ is a racialised myth. In the  absence of a literary tradition, the Adivasi socio-cultural systems were construed and portrayed  as stagnant and inert by the British and their local subordinates alike. Such fallacies were  orchestrated by a gamut of ‘sub-Orientalist’ literature that dehumanised and objectified the  Adivasi figure through a ratification of Western evolutionary theories of race. Hence, as the  Brahminical and western racist approaches colluded, dual racism against the Adivasis became </w:t>
      </w:r>
    </w:p>
    <w:p w14:paraId="5CA4DFCC" w14:textId="77777777" w:rsidR="003934E1" w:rsidRDefault="00000000">
      <w:pPr>
        <w:widowControl w:val="0"/>
        <w:ind w:right="53"/>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17 </w:t>
      </w:r>
    </w:p>
    <w:p w14:paraId="3C2A7372"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439BAA31" w14:textId="77777777" w:rsidR="003934E1" w:rsidRDefault="00000000">
      <w:pPr>
        <w:widowControl w:val="0"/>
        <w:spacing w:before="579" w:line="344" w:lineRule="auto"/>
        <w:ind w:left="7" w:right="-3" w:firstLine="9"/>
        <w:rPr>
          <w:rFonts w:ascii="Times New Roman" w:eastAsia="Times New Roman" w:hAnsi="Times New Roman" w:cs="Times New Roman"/>
        </w:rPr>
      </w:pPr>
      <w:r>
        <w:rPr>
          <w:rFonts w:ascii="Times New Roman" w:eastAsia="Times New Roman" w:hAnsi="Times New Roman" w:cs="Times New Roman"/>
        </w:rPr>
        <w:t xml:space="preserve">apparent culminating in racialisation of the colonial governance. Criminal Tribes Acts (1871)  was a direct consequence of such bureaucratisation of this variant of racism.  Findings of this research suggest that the British leveraged this dual racism in the  establishment of the ‘rule of law’ and Western education under the programme of civilisational  upliftment to tighten the noose on the Adivasi groups of central India. Behind the garb of  paternal benevolence and special exemption Adivasis, the Imperial regime processes catalysed  a trend of ‘Scheduling’ that led to further marginalisation of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Uraons</w:t>
      </w:r>
      <w:proofErr w:type="spellEnd"/>
      <w:r>
        <w:rPr>
          <w:rFonts w:ascii="Times New Roman" w:eastAsia="Times New Roman" w:hAnsi="Times New Roman" w:cs="Times New Roman"/>
        </w:rPr>
        <w:t xml:space="preserve">, and Santals  along with the other such groups. British state’s ultimate aim through Policy of ‘Non Regulation’ </w:t>
      </w:r>
      <w:r>
        <w:rPr>
          <w:rFonts w:ascii="Times New Roman" w:eastAsia="Times New Roman" w:hAnsi="Times New Roman" w:cs="Times New Roman"/>
        </w:rPr>
        <w:lastRenderedPageBreak/>
        <w:t xml:space="preserve">came as a by-product of the process of ‘Scheduling,’ which was nothing but a  calculated strategy for containing Adivasi angst, facilitating extractive ambitions given the  backdrop of Free Trade Imperialism. It took on various forms, but the content was the same.  First initiated in the case of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in 1833, a string of such policies was implemented to  contain the Adivasi rebellions. </w:t>
      </w:r>
    </w:p>
    <w:p w14:paraId="45DCE21B" w14:textId="77777777" w:rsidR="003934E1" w:rsidRDefault="00000000">
      <w:pPr>
        <w:widowControl w:val="0"/>
        <w:spacing w:before="27" w:line="345" w:lineRule="auto"/>
        <w:ind w:left="9" w:right="-5" w:firstLine="561"/>
        <w:jc w:val="both"/>
        <w:rPr>
          <w:rFonts w:ascii="Times New Roman" w:eastAsia="Times New Roman" w:hAnsi="Times New Roman" w:cs="Times New Roman"/>
        </w:rPr>
      </w:pPr>
      <w:r>
        <w:rPr>
          <w:rFonts w:ascii="Times New Roman" w:eastAsia="Times New Roman" w:hAnsi="Times New Roman" w:cs="Times New Roman"/>
        </w:rPr>
        <w:t xml:space="preserve">Nevertheless, as emphasised by the present chapter, Adivasi societies were in a constant  state of dialogue with the colonial forces, manoeuvring their way through the unjust structures  of the ‘colonial matrix of power.’ Far from being passive subjects, Adivasi communities  continually reshaped their realities through petitions, oral traditions, symbolic reimagining, and  everyday acts of refusal. So, while the racial colonial regime dismissed Adivasis as ahistorical,  a </w:t>
      </w:r>
      <w:proofErr w:type="spellStart"/>
      <w:r>
        <w:rPr>
          <w:rFonts w:ascii="Times New Roman" w:eastAsia="Times New Roman" w:hAnsi="Times New Roman" w:cs="Times New Roman"/>
        </w:rPr>
        <w:t>Menas</w:t>
      </w:r>
      <w:proofErr w:type="spellEnd"/>
      <w:r>
        <w:rPr>
          <w:rFonts w:ascii="Times New Roman" w:eastAsia="Times New Roman" w:hAnsi="Times New Roman" w:cs="Times New Roman"/>
        </w:rPr>
        <w:t xml:space="preserve"> Orea, a </w:t>
      </w:r>
      <w:proofErr w:type="spellStart"/>
      <w:r>
        <w:rPr>
          <w:rFonts w:ascii="Times New Roman" w:eastAsia="Times New Roman" w:hAnsi="Times New Roman" w:cs="Times New Roman"/>
        </w:rPr>
        <w:t>Kòlèan</w:t>
      </w:r>
      <w:proofErr w:type="spellEnd"/>
      <w:r>
        <w:rPr>
          <w:rFonts w:ascii="Times New Roman" w:eastAsia="Times New Roman" w:hAnsi="Times New Roman" w:cs="Times New Roman"/>
        </w:rPr>
        <w:t xml:space="preserve">, and a </w:t>
      </w:r>
      <w:proofErr w:type="spellStart"/>
      <w:r>
        <w:rPr>
          <w:rFonts w:ascii="Times New Roman" w:eastAsia="Times New Roman" w:hAnsi="Times New Roman" w:cs="Times New Roman"/>
        </w:rPr>
        <w:t>Sagram</w:t>
      </w:r>
      <w:proofErr w:type="spellEnd"/>
      <w:r>
        <w:rPr>
          <w:rFonts w:ascii="Times New Roman" w:eastAsia="Times New Roman" w:hAnsi="Times New Roman" w:cs="Times New Roman"/>
        </w:rPr>
        <w:t xml:space="preserve"> Murmu competently transcribed the histories of their  communities. Adivasi resistance itself was a form of knowledge-making, rooted in cosmology,  memory, kinship, and oral tradition. Though their voices were often mediated or suppressed  within colonial and missionary records, a careful contextual and textual reading of the archives  reveals ruptures, contradictions, and moments of assertion that interrogate and challenge the  dominant scripts. Such Adivasi dynamism embodies an organic form of ‘decolonial praxis’ that  was defined by a vibrant cultural ethos, rather than ‘external stimuli’ or colonial modernity.  </w:t>
      </w:r>
    </w:p>
    <w:p w14:paraId="45DB0A83" w14:textId="77777777" w:rsidR="003934E1" w:rsidRDefault="00000000">
      <w:pPr>
        <w:widowControl w:val="0"/>
        <w:spacing w:before="27" w:line="345" w:lineRule="auto"/>
        <w:ind w:left="7" w:right="-5" w:firstLine="572"/>
        <w:jc w:val="both"/>
        <w:rPr>
          <w:rFonts w:ascii="Times New Roman" w:eastAsia="Times New Roman" w:hAnsi="Times New Roman" w:cs="Times New Roman"/>
        </w:rPr>
      </w:pPr>
      <w:r>
        <w:rPr>
          <w:rFonts w:ascii="Times New Roman" w:eastAsia="Times New Roman" w:hAnsi="Times New Roman" w:cs="Times New Roman"/>
        </w:rPr>
        <w:t>In view of the foregoing discussion, this study calls for a ‘decolonial praxis’ within the  domain of Adivasi studies, where praxis denotes an amalgamation of theory and practice. It  becomes important to counter the myths constructed during colonial rule that continue to haunt  the academic circles by shaping patterns of marginalisation and invisibility of the Adivasi  voices. To bring Adivasi agency and epistemology into the centre of historical inquiry is not  only a matter of justice; it is a decolonial act. It requires us to rethink what counts as history,  who is authorised to tell it, and how the very tools of documentation can be turned inside out  to reveal the richness of lives and struggles too long rendered silent.</w:t>
      </w:r>
    </w:p>
    <w:p w14:paraId="7F2F2239" w14:textId="77777777" w:rsidR="003934E1" w:rsidRDefault="00000000">
      <w:pPr>
        <w:widowControl w:val="0"/>
        <w:ind w:right="53"/>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18 </w:t>
      </w:r>
    </w:p>
    <w:p w14:paraId="4E40CE5B"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2739573F" w14:textId="77777777" w:rsidR="003934E1" w:rsidRDefault="00000000">
      <w:pPr>
        <w:widowControl w:val="0"/>
        <w:spacing w:before="991"/>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Works cited </w:t>
      </w:r>
    </w:p>
    <w:p w14:paraId="5DD4CBB9" w14:textId="77777777" w:rsidR="003934E1" w:rsidRDefault="00000000">
      <w:pPr>
        <w:widowControl w:val="0"/>
        <w:spacing w:before="718"/>
        <w:ind w:left="1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Primary Sources </w:t>
      </w:r>
    </w:p>
    <w:p w14:paraId="47986F1E" w14:textId="77777777" w:rsidR="003934E1" w:rsidRDefault="00000000">
      <w:pPr>
        <w:widowControl w:val="0"/>
        <w:spacing w:before="233" w:line="345" w:lineRule="auto"/>
        <w:ind w:left="590" w:right="-5" w:hanging="580"/>
        <w:rPr>
          <w:rFonts w:ascii="Times New Roman" w:eastAsia="Times New Roman" w:hAnsi="Times New Roman" w:cs="Times New Roman"/>
        </w:rPr>
      </w:pPr>
      <w:r>
        <w:rPr>
          <w:rFonts w:ascii="Times New Roman" w:eastAsia="Times New Roman" w:hAnsi="Times New Roman" w:cs="Times New Roman"/>
        </w:rPr>
        <w:t xml:space="preserve">Anonymous. (1869). ‘The Kols: The Insurrection of 1832 and the Land Tenure Act of 1869.’  </w:t>
      </w:r>
      <w:r>
        <w:rPr>
          <w:rFonts w:ascii="Times New Roman" w:eastAsia="Times New Roman" w:hAnsi="Times New Roman" w:cs="Times New Roman"/>
          <w:i/>
        </w:rPr>
        <w:lastRenderedPageBreak/>
        <w:t xml:space="preserve">Calcutta Review </w:t>
      </w:r>
      <w:r>
        <w:rPr>
          <w:rFonts w:ascii="Times New Roman" w:eastAsia="Times New Roman" w:hAnsi="Times New Roman" w:cs="Times New Roman"/>
        </w:rPr>
        <w:t xml:space="preserve">XLIX (XCVII), 109-157. </w:t>
      </w:r>
    </w:p>
    <w:p w14:paraId="3DEBB5DA" w14:textId="77777777" w:rsidR="003934E1" w:rsidRDefault="00000000">
      <w:pPr>
        <w:widowControl w:val="0"/>
        <w:spacing w:before="26" w:line="344" w:lineRule="auto"/>
        <w:ind w:left="589" w:right="-2" w:hanging="577"/>
        <w:rPr>
          <w:rFonts w:ascii="Times New Roman" w:eastAsia="Times New Roman" w:hAnsi="Times New Roman" w:cs="Times New Roman"/>
        </w:rPr>
      </w:pPr>
      <w:proofErr w:type="spellStart"/>
      <w:r>
        <w:rPr>
          <w:rFonts w:ascii="Times New Roman" w:eastAsia="Times New Roman" w:hAnsi="Times New Roman" w:cs="Times New Roman"/>
        </w:rPr>
        <w:t>Bodding</w:t>
      </w:r>
      <w:proofErr w:type="spellEnd"/>
      <w:r>
        <w:rPr>
          <w:rFonts w:ascii="Times New Roman" w:eastAsia="Times New Roman" w:hAnsi="Times New Roman" w:cs="Times New Roman"/>
        </w:rPr>
        <w:t xml:space="preserve">, P.O. (1916). </w:t>
      </w:r>
      <w:r>
        <w:rPr>
          <w:rFonts w:ascii="Times New Roman" w:eastAsia="Times New Roman" w:hAnsi="Times New Roman" w:cs="Times New Roman"/>
          <w:i/>
        </w:rPr>
        <w:t>Traditions and Institutions of the Santals</w:t>
      </w:r>
      <w:r>
        <w:rPr>
          <w:rFonts w:ascii="Times New Roman" w:eastAsia="Times New Roman" w:hAnsi="Times New Roman" w:cs="Times New Roman"/>
        </w:rPr>
        <w:t xml:space="preserve">. Revised ed. Calcutta: Bengal  Secretariat Press. </w:t>
      </w:r>
    </w:p>
    <w:p w14:paraId="16AC51E0" w14:textId="77777777" w:rsidR="003934E1" w:rsidRDefault="00000000">
      <w:pPr>
        <w:widowControl w:val="0"/>
        <w:spacing w:before="30" w:line="343" w:lineRule="auto"/>
        <w:ind w:left="17" w:right="52" w:hanging="1"/>
        <w:rPr>
          <w:rFonts w:ascii="Times New Roman" w:eastAsia="Times New Roman" w:hAnsi="Times New Roman" w:cs="Times New Roman"/>
        </w:rPr>
      </w:pPr>
      <w:r>
        <w:rPr>
          <w:rFonts w:ascii="Times New Roman" w:eastAsia="Times New Roman" w:hAnsi="Times New Roman" w:cs="Times New Roman"/>
        </w:rPr>
        <w:t xml:space="preserve">Campbell, George. (1866). ‘The Ethnology of India.’ </w:t>
      </w:r>
      <w:r>
        <w:rPr>
          <w:rFonts w:ascii="Times New Roman" w:eastAsia="Times New Roman" w:hAnsi="Times New Roman" w:cs="Times New Roman"/>
          <w:i/>
        </w:rPr>
        <w:t xml:space="preserve">Journal of the Asiatic Society of Bengal </w:t>
      </w:r>
      <w:r>
        <w:rPr>
          <w:rFonts w:ascii="Times New Roman" w:eastAsia="Times New Roman" w:hAnsi="Times New Roman" w:cs="Times New Roman"/>
        </w:rPr>
        <w:t xml:space="preserve">35 (2), 1-152. Calcutta: C.B. Lewis.  </w:t>
      </w:r>
    </w:p>
    <w:p w14:paraId="6BCDC481" w14:textId="77777777" w:rsidR="003934E1" w:rsidRDefault="00000000">
      <w:pPr>
        <w:widowControl w:val="0"/>
        <w:spacing w:before="31" w:line="344" w:lineRule="auto"/>
        <w:ind w:right="-2" w:firstLine="16"/>
        <w:rPr>
          <w:rFonts w:ascii="Times New Roman" w:eastAsia="Times New Roman" w:hAnsi="Times New Roman" w:cs="Times New Roman"/>
        </w:rPr>
      </w:pPr>
      <w:r>
        <w:rPr>
          <w:rFonts w:ascii="Times New Roman" w:eastAsia="Times New Roman" w:hAnsi="Times New Roman" w:cs="Times New Roman"/>
        </w:rPr>
        <w:t xml:space="preserve">Chatterji, Suniti Kumar. (1923). ‘The Study of Kol.’ </w:t>
      </w:r>
      <w:r>
        <w:rPr>
          <w:rFonts w:ascii="Times New Roman" w:eastAsia="Times New Roman" w:hAnsi="Times New Roman" w:cs="Times New Roman"/>
          <w:i/>
        </w:rPr>
        <w:t xml:space="preserve">Calcutta Review </w:t>
      </w:r>
      <w:r>
        <w:rPr>
          <w:rFonts w:ascii="Times New Roman" w:eastAsia="Times New Roman" w:hAnsi="Times New Roman" w:cs="Times New Roman"/>
        </w:rPr>
        <w:t xml:space="preserve">VIII, 451-473. Fraser, H. L. Andrew. (1911). </w:t>
      </w:r>
      <w:r>
        <w:rPr>
          <w:rFonts w:ascii="Times New Roman" w:eastAsia="Times New Roman" w:hAnsi="Times New Roman" w:cs="Times New Roman"/>
          <w:i/>
        </w:rPr>
        <w:t xml:space="preserve">Among Indian Rajahs and </w:t>
      </w:r>
      <w:r>
        <w:rPr>
          <w:rFonts w:ascii="Times New Roman" w:eastAsia="Times New Roman" w:hAnsi="Times New Roman" w:cs="Times New Roman"/>
        </w:rPr>
        <w:t xml:space="preserve">Ryots. Philadelphia. German Evangelical Lutheran (Gossner) Mission. (1889). </w:t>
      </w:r>
      <w:r>
        <w:rPr>
          <w:rFonts w:ascii="Times New Roman" w:eastAsia="Times New Roman" w:hAnsi="Times New Roman" w:cs="Times New Roman"/>
          <w:i/>
        </w:rPr>
        <w:t>An enquiry into the causes of the  land-question in Chutia Nagpur Proper and an attempt to devise means for its solution by the  ‘</w:t>
      </w:r>
      <w:proofErr w:type="spellStart"/>
      <w:r>
        <w:rPr>
          <w:rFonts w:ascii="Times New Roman" w:eastAsia="Times New Roman" w:hAnsi="Times New Roman" w:cs="Times New Roman"/>
          <w:i/>
        </w:rPr>
        <w:t>Vorstand</w:t>
      </w:r>
      <w:proofErr w:type="spellEnd"/>
      <w:r>
        <w:rPr>
          <w:rFonts w:ascii="Times New Roman" w:eastAsia="Times New Roman" w:hAnsi="Times New Roman" w:cs="Times New Roman"/>
          <w:i/>
        </w:rPr>
        <w:t>’ of the German Ev. Luth. (Gossner) Mission in Chutia Nagpur, submitted to Her  Majesty’s Government</w:t>
      </w:r>
      <w:r>
        <w:rPr>
          <w:rFonts w:ascii="Times New Roman" w:eastAsia="Times New Roman" w:hAnsi="Times New Roman" w:cs="Times New Roman"/>
        </w:rPr>
        <w:t xml:space="preserve">. Benares. </w:t>
      </w:r>
    </w:p>
    <w:p w14:paraId="4FF889AA" w14:textId="77777777" w:rsidR="003934E1" w:rsidRDefault="00000000">
      <w:pPr>
        <w:widowControl w:val="0"/>
        <w:spacing w:before="30" w:line="344" w:lineRule="auto"/>
        <w:ind w:left="16"/>
        <w:jc w:val="center"/>
        <w:rPr>
          <w:rFonts w:ascii="Times New Roman" w:eastAsia="Times New Roman" w:hAnsi="Times New Roman" w:cs="Times New Roman"/>
        </w:rPr>
      </w:pPr>
      <w:r>
        <w:rPr>
          <w:rFonts w:ascii="Times New Roman" w:eastAsia="Times New Roman" w:hAnsi="Times New Roman" w:cs="Times New Roman"/>
        </w:rPr>
        <w:t xml:space="preserve">Government of India. (2007). </w:t>
      </w:r>
      <w:r>
        <w:rPr>
          <w:rFonts w:ascii="Times New Roman" w:eastAsia="Times New Roman" w:hAnsi="Times New Roman" w:cs="Times New Roman"/>
          <w:i/>
        </w:rPr>
        <w:t xml:space="preserve">Report of the Committee to Enquire into the Allegation of  Differential Treatment of SC/ST Students in All India Institute of Medical Sciences, Delhi </w:t>
      </w:r>
      <w:r>
        <w:rPr>
          <w:rFonts w:ascii="Times New Roman" w:eastAsia="Times New Roman" w:hAnsi="Times New Roman" w:cs="Times New Roman"/>
        </w:rPr>
        <w:t xml:space="preserve">(Thorat Committee Report). New Delhi: Ministry of Health and Family Welfare. </w:t>
      </w:r>
    </w:p>
    <w:p w14:paraId="0CC621E4" w14:textId="77777777" w:rsidR="003934E1" w:rsidRDefault="00000000">
      <w:pPr>
        <w:widowControl w:val="0"/>
        <w:spacing w:before="27" w:line="344" w:lineRule="auto"/>
        <w:ind w:left="567" w:right="-4" w:hanging="551"/>
        <w:jc w:val="both"/>
        <w:rPr>
          <w:rFonts w:ascii="Times New Roman" w:eastAsia="Times New Roman" w:hAnsi="Times New Roman" w:cs="Times New Roman"/>
        </w:rPr>
      </w:pPr>
      <w:r>
        <w:rPr>
          <w:rFonts w:ascii="Times New Roman" w:eastAsia="Times New Roman" w:hAnsi="Times New Roman" w:cs="Times New Roman"/>
        </w:rPr>
        <w:t xml:space="preserve">Government of India. (May 2014). </w:t>
      </w:r>
      <w:r>
        <w:rPr>
          <w:rFonts w:ascii="Times New Roman" w:eastAsia="Times New Roman" w:hAnsi="Times New Roman" w:cs="Times New Roman"/>
          <w:i/>
        </w:rPr>
        <w:t xml:space="preserve">Report of the High Level Committee on Socioeconomic,  Health and Educational Status of Tribal Communities of India </w:t>
      </w:r>
      <w:r>
        <w:rPr>
          <w:rFonts w:ascii="Times New Roman" w:eastAsia="Times New Roman" w:hAnsi="Times New Roman" w:cs="Times New Roman"/>
        </w:rPr>
        <w:t xml:space="preserve">(HLC Report), Ministry  of Tribal Affairs. </w:t>
      </w:r>
    </w:p>
    <w:p w14:paraId="280EE738" w14:textId="77777777" w:rsidR="003934E1" w:rsidRDefault="00000000">
      <w:pPr>
        <w:widowControl w:val="0"/>
        <w:spacing w:before="30" w:line="344" w:lineRule="auto"/>
        <w:ind w:left="16" w:right="-1"/>
        <w:rPr>
          <w:rFonts w:ascii="Times New Roman" w:eastAsia="Times New Roman" w:hAnsi="Times New Roman" w:cs="Times New Roman"/>
        </w:rPr>
      </w:pPr>
      <w:r>
        <w:rPr>
          <w:rFonts w:ascii="Times New Roman" w:eastAsia="Times New Roman" w:hAnsi="Times New Roman" w:cs="Times New Roman"/>
        </w:rPr>
        <w:t xml:space="preserve">Griffiths, W.G. (1944). ‘The Folklores of the Kols,’ </w:t>
      </w:r>
      <w:r>
        <w:rPr>
          <w:rFonts w:ascii="Times New Roman" w:eastAsia="Times New Roman" w:hAnsi="Times New Roman" w:cs="Times New Roman"/>
          <w:i/>
        </w:rPr>
        <w:t>Man in India</w:t>
      </w:r>
      <w:r>
        <w:rPr>
          <w:rFonts w:ascii="Times New Roman" w:eastAsia="Times New Roman" w:hAnsi="Times New Roman" w:cs="Times New Roman"/>
        </w:rPr>
        <w:t xml:space="preserve">. XXIV (4). December.  Grignard, F. A. (1909). ‘The </w:t>
      </w:r>
      <w:proofErr w:type="spellStart"/>
      <w:r>
        <w:rPr>
          <w:rFonts w:ascii="Times New Roman" w:eastAsia="Times New Roman" w:hAnsi="Times New Roman" w:cs="Times New Roman"/>
        </w:rPr>
        <w:t>Oraons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From the Time of Their Settlement in India  (An Essay on the Constructive History).’ </w:t>
      </w:r>
      <w:r>
        <w:rPr>
          <w:rFonts w:ascii="Times New Roman" w:eastAsia="Times New Roman" w:hAnsi="Times New Roman" w:cs="Times New Roman"/>
          <w:i/>
        </w:rPr>
        <w:t xml:space="preserve">Anthropos </w:t>
      </w:r>
      <w:r>
        <w:rPr>
          <w:rFonts w:ascii="Times New Roman" w:eastAsia="Times New Roman" w:hAnsi="Times New Roman" w:cs="Times New Roman"/>
        </w:rPr>
        <w:t xml:space="preserve">6. </w:t>
      </w:r>
    </w:p>
    <w:p w14:paraId="5EC91C72" w14:textId="77777777" w:rsidR="003934E1" w:rsidRDefault="00000000">
      <w:pPr>
        <w:widowControl w:val="0"/>
        <w:spacing w:before="27" w:line="345" w:lineRule="auto"/>
        <w:ind w:left="578" w:right="-1" w:hanging="566"/>
        <w:rPr>
          <w:rFonts w:ascii="Times New Roman" w:eastAsia="Times New Roman" w:hAnsi="Times New Roman" w:cs="Times New Roman"/>
        </w:rPr>
      </w:pPr>
      <w:r>
        <w:rPr>
          <w:rFonts w:ascii="Times New Roman" w:eastAsia="Times New Roman" w:hAnsi="Times New Roman" w:cs="Times New Roman"/>
        </w:rPr>
        <w:t xml:space="preserve">Haldar, </w:t>
      </w:r>
      <w:proofErr w:type="spellStart"/>
      <w:r>
        <w:rPr>
          <w:rFonts w:ascii="Times New Roman" w:eastAsia="Times New Roman" w:hAnsi="Times New Roman" w:cs="Times New Roman"/>
        </w:rPr>
        <w:t>Rakkhal</w:t>
      </w:r>
      <w:proofErr w:type="spellEnd"/>
      <w:r>
        <w:rPr>
          <w:rFonts w:ascii="Times New Roman" w:eastAsia="Times New Roman" w:hAnsi="Times New Roman" w:cs="Times New Roman"/>
        </w:rPr>
        <w:t xml:space="preserve"> Das. </w:t>
      </w:r>
      <w:r>
        <w:rPr>
          <w:rFonts w:ascii="Times New Roman" w:eastAsia="Times New Roman" w:hAnsi="Times New Roman" w:cs="Times New Roman"/>
          <w:i/>
        </w:rPr>
        <w:t>Personal Diary, 1871-1879</w:t>
      </w:r>
      <w:r>
        <w:rPr>
          <w:rFonts w:ascii="Times New Roman" w:eastAsia="Times New Roman" w:hAnsi="Times New Roman" w:cs="Times New Roman"/>
        </w:rPr>
        <w:t xml:space="preserve">. </w:t>
      </w:r>
      <w:proofErr w:type="spellStart"/>
      <w:r>
        <w:rPr>
          <w:rFonts w:ascii="Times New Roman" w:eastAsia="Times New Roman" w:hAnsi="Times New Roman" w:cs="Times New Roman"/>
        </w:rPr>
        <w:t>Santulal</w:t>
      </w:r>
      <w:proofErr w:type="spellEnd"/>
      <w:r>
        <w:rPr>
          <w:rFonts w:ascii="Times New Roman" w:eastAsia="Times New Roman" w:hAnsi="Times New Roman" w:cs="Times New Roman"/>
        </w:rPr>
        <w:t xml:space="preserve"> Budhia Public Library, Upper  Bazar, Ranchi.  </w:t>
      </w:r>
    </w:p>
    <w:p w14:paraId="645517BB" w14:textId="77777777" w:rsidR="003934E1" w:rsidRDefault="00000000">
      <w:pPr>
        <w:widowControl w:val="0"/>
        <w:spacing w:before="26" w:line="345" w:lineRule="auto"/>
        <w:ind w:left="575" w:right="-4" w:hanging="563"/>
        <w:rPr>
          <w:rFonts w:ascii="Times New Roman" w:eastAsia="Times New Roman" w:hAnsi="Times New Roman" w:cs="Times New Roman"/>
        </w:rPr>
      </w:pPr>
      <w:r>
        <w:rPr>
          <w:rFonts w:ascii="Times New Roman" w:eastAsia="Times New Roman" w:hAnsi="Times New Roman" w:cs="Times New Roman"/>
        </w:rPr>
        <w:t xml:space="preserve">Hoffmann, John Baptist, and Emelen, A. Van. </w:t>
      </w:r>
      <w:r>
        <w:rPr>
          <w:rFonts w:ascii="Times New Roman" w:eastAsia="Times New Roman" w:hAnsi="Times New Roman" w:cs="Times New Roman"/>
          <w:i/>
        </w:rPr>
        <w:t xml:space="preserve">Encyclopaedia </w:t>
      </w:r>
      <w:proofErr w:type="spellStart"/>
      <w:r>
        <w:rPr>
          <w:rFonts w:ascii="Times New Roman" w:eastAsia="Times New Roman" w:hAnsi="Times New Roman" w:cs="Times New Roman"/>
          <w:i/>
        </w:rPr>
        <w:t>Mundarica</w:t>
      </w:r>
      <w:proofErr w:type="spellEnd"/>
      <w:r>
        <w:rPr>
          <w:rFonts w:ascii="Times New Roman" w:eastAsia="Times New Roman" w:hAnsi="Times New Roman" w:cs="Times New Roman"/>
        </w:rPr>
        <w:t xml:space="preserve">. 13 Vols. Volumes I XI published 1930-1937; Vols. XII-XIII published 1950. Published by Government of  Bihar and Orissa. St. Albert’s Theological College Library. </w:t>
      </w:r>
    </w:p>
    <w:p w14:paraId="2F7C445D" w14:textId="77777777" w:rsidR="003934E1" w:rsidRDefault="00000000">
      <w:pPr>
        <w:widowControl w:val="0"/>
        <w:spacing w:before="30" w:line="343" w:lineRule="auto"/>
        <w:ind w:left="583" w:right="-5" w:hanging="571"/>
        <w:rPr>
          <w:rFonts w:ascii="Times New Roman" w:eastAsia="Times New Roman" w:hAnsi="Times New Roman" w:cs="Times New Roman"/>
        </w:rPr>
      </w:pPr>
      <w:r>
        <w:rPr>
          <w:rFonts w:ascii="Times New Roman" w:eastAsia="Times New Roman" w:hAnsi="Times New Roman" w:cs="Times New Roman"/>
        </w:rPr>
        <w:t xml:space="preserve">Long, James. (1870). ‘Report of the Sociological Section.’ </w:t>
      </w:r>
      <w:r>
        <w:rPr>
          <w:rFonts w:ascii="Times New Roman" w:eastAsia="Times New Roman" w:hAnsi="Times New Roman" w:cs="Times New Roman"/>
          <w:i/>
        </w:rPr>
        <w:t>Proceedings of the Transactions of  the Bethune Society</w:t>
      </w:r>
      <w:r>
        <w:rPr>
          <w:rFonts w:ascii="Times New Roman" w:eastAsia="Times New Roman" w:hAnsi="Times New Roman" w:cs="Times New Roman"/>
        </w:rPr>
        <w:t xml:space="preserve">. Calcutta. </w:t>
      </w:r>
    </w:p>
    <w:p w14:paraId="4D577F0C" w14:textId="77777777" w:rsidR="003934E1" w:rsidRDefault="00000000">
      <w:pPr>
        <w:widowControl w:val="0"/>
        <w:spacing w:before="31"/>
        <w:ind w:left="11"/>
        <w:rPr>
          <w:rFonts w:ascii="Times New Roman" w:eastAsia="Times New Roman" w:hAnsi="Times New Roman" w:cs="Times New Roman"/>
        </w:rPr>
      </w:pPr>
      <w:r>
        <w:rPr>
          <w:rFonts w:ascii="Times New Roman" w:eastAsia="Times New Roman" w:hAnsi="Times New Roman" w:cs="Times New Roman"/>
        </w:rPr>
        <w:t xml:space="preserve">Man, E.G. (1867). </w:t>
      </w:r>
      <w:proofErr w:type="spellStart"/>
      <w:r>
        <w:rPr>
          <w:rFonts w:ascii="Times New Roman" w:eastAsia="Times New Roman" w:hAnsi="Times New Roman" w:cs="Times New Roman"/>
          <w:i/>
        </w:rPr>
        <w:t>Sonthalia</w:t>
      </w:r>
      <w:proofErr w:type="spellEnd"/>
      <w:r>
        <w:rPr>
          <w:rFonts w:ascii="Times New Roman" w:eastAsia="Times New Roman" w:hAnsi="Times New Roman" w:cs="Times New Roman"/>
          <w:i/>
        </w:rPr>
        <w:t xml:space="preserve"> and the </w:t>
      </w:r>
      <w:proofErr w:type="spellStart"/>
      <w:r>
        <w:rPr>
          <w:rFonts w:ascii="Times New Roman" w:eastAsia="Times New Roman" w:hAnsi="Times New Roman" w:cs="Times New Roman"/>
          <w:i/>
        </w:rPr>
        <w:t>Sonthals</w:t>
      </w:r>
      <w:proofErr w:type="spellEnd"/>
      <w:r>
        <w:rPr>
          <w:rFonts w:ascii="Times New Roman" w:eastAsia="Times New Roman" w:hAnsi="Times New Roman" w:cs="Times New Roman"/>
        </w:rPr>
        <w:t xml:space="preserve">. London: George Wyman. </w:t>
      </w:r>
    </w:p>
    <w:p w14:paraId="30B1D257" w14:textId="77777777" w:rsidR="003934E1" w:rsidRDefault="00000000">
      <w:pPr>
        <w:widowControl w:val="0"/>
        <w:ind w:right="53"/>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19 </w:t>
      </w:r>
    </w:p>
    <w:p w14:paraId="30DF2B6C"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7C91A393" w14:textId="77777777" w:rsidR="003934E1" w:rsidRDefault="00000000">
      <w:pPr>
        <w:widowControl w:val="0"/>
        <w:spacing w:before="579" w:line="344" w:lineRule="auto"/>
        <w:ind w:left="2" w:right="-4" w:firstLine="13"/>
        <w:rPr>
          <w:rFonts w:ascii="Times New Roman" w:eastAsia="Times New Roman" w:hAnsi="Times New Roman" w:cs="Times New Roman"/>
        </w:rPr>
      </w:pPr>
      <w:r>
        <w:rPr>
          <w:rFonts w:ascii="Times New Roman" w:eastAsia="Times New Roman" w:hAnsi="Times New Roman" w:cs="Times New Roman"/>
        </w:rPr>
        <w:t xml:space="preserve">Orea, </w:t>
      </w:r>
      <w:proofErr w:type="spellStart"/>
      <w:r>
        <w:rPr>
          <w:rFonts w:ascii="Times New Roman" w:eastAsia="Times New Roman" w:hAnsi="Times New Roman" w:cs="Times New Roman"/>
        </w:rPr>
        <w:t>Menas</w:t>
      </w:r>
      <w:proofErr w:type="spellEnd"/>
      <w:r>
        <w:rPr>
          <w:rFonts w:ascii="Times New Roman" w:eastAsia="Times New Roman" w:hAnsi="Times New Roman" w:cs="Times New Roman"/>
        </w:rPr>
        <w:t>. (1994). ‘</w:t>
      </w:r>
      <w:proofErr w:type="spellStart"/>
      <w:r>
        <w:rPr>
          <w:rFonts w:ascii="Times New Roman" w:eastAsia="Times New Roman" w:hAnsi="Times New Roman" w:cs="Times New Roman"/>
        </w:rPr>
        <w:t>Gutigara</w:t>
      </w:r>
      <w:proofErr w:type="spellEnd"/>
      <w:r>
        <w:rPr>
          <w:rFonts w:ascii="Times New Roman" w:eastAsia="Times New Roman" w:hAnsi="Times New Roman" w:cs="Times New Roman"/>
        </w:rPr>
        <w:t xml:space="preserve"> Panchayat,’ translated from Mundari by Van </w:t>
      </w:r>
      <w:proofErr w:type="spellStart"/>
      <w:r>
        <w:rPr>
          <w:rFonts w:ascii="Times New Roman" w:eastAsia="Times New Roman" w:hAnsi="Times New Roman" w:cs="Times New Roman"/>
        </w:rPr>
        <w:t>Exem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Sevartham</w:t>
      </w:r>
      <w:proofErr w:type="spellEnd"/>
      <w:r>
        <w:rPr>
          <w:rFonts w:ascii="Times New Roman" w:eastAsia="Times New Roman" w:hAnsi="Times New Roman" w:cs="Times New Roman"/>
        </w:rPr>
        <w:t xml:space="preserve">. </w:t>
      </w:r>
      <w:r>
        <w:rPr>
          <w:rFonts w:ascii="Times New Roman" w:eastAsia="Times New Roman" w:hAnsi="Times New Roman" w:cs="Times New Roman"/>
          <w:i/>
        </w:rPr>
        <w:t xml:space="preserve">Papers Related to </w:t>
      </w:r>
      <w:proofErr w:type="spellStart"/>
      <w:r>
        <w:rPr>
          <w:rFonts w:ascii="Times New Roman" w:eastAsia="Times New Roman" w:hAnsi="Times New Roman" w:cs="Times New Roman"/>
          <w:i/>
        </w:rPr>
        <w:t>Chhotanagpur</w:t>
      </w:r>
      <w:proofErr w:type="spellEnd"/>
      <w:r>
        <w:rPr>
          <w:rFonts w:ascii="Times New Roman" w:eastAsia="Times New Roman" w:hAnsi="Times New Roman" w:cs="Times New Roman"/>
          <w:i/>
        </w:rPr>
        <w:t xml:space="preserve"> Agrarian Disputes </w:t>
      </w:r>
      <w:r>
        <w:rPr>
          <w:rFonts w:ascii="Times New Roman" w:eastAsia="Times New Roman" w:hAnsi="Times New Roman" w:cs="Times New Roman"/>
        </w:rPr>
        <w:t xml:space="preserve">(PRCAD) I-II. Ranchi: Man in India  Library. </w:t>
      </w:r>
    </w:p>
    <w:p w14:paraId="7A3D3A55" w14:textId="77777777" w:rsidR="003934E1" w:rsidRDefault="00000000">
      <w:pPr>
        <w:widowControl w:val="0"/>
        <w:spacing w:before="27" w:line="344" w:lineRule="auto"/>
        <w:ind w:left="578" w:right="-5" w:hanging="566"/>
        <w:jc w:val="both"/>
        <w:rPr>
          <w:rFonts w:ascii="Times New Roman" w:eastAsia="Times New Roman" w:hAnsi="Times New Roman" w:cs="Times New Roman"/>
        </w:rPr>
      </w:pPr>
      <w:r>
        <w:rPr>
          <w:rFonts w:ascii="Times New Roman" w:eastAsia="Times New Roman" w:hAnsi="Times New Roman" w:cs="Times New Roman"/>
        </w:rPr>
        <w:t xml:space="preserve">Petition dated 1881 to Lt. Governor of Bengal. Source D.G. Sherwin. In Appendix B3. John,  </w:t>
      </w:r>
      <w:r>
        <w:rPr>
          <w:rFonts w:ascii="Times New Roman" w:eastAsia="Times New Roman" w:hAnsi="Times New Roman" w:cs="Times New Roman"/>
        </w:rPr>
        <w:lastRenderedPageBreak/>
        <w:t xml:space="preserve">Macdougall. (1985). </w:t>
      </w:r>
      <w:r>
        <w:rPr>
          <w:rFonts w:ascii="Times New Roman" w:eastAsia="Times New Roman" w:hAnsi="Times New Roman" w:cs="Times New Roman"/>
          <w:i/>
        </w:rPr>
        <w:t xml:space="preserve">Land or Religion? The Sardar and </w:t>
      </w:r>
      <w:proofErr w:type="spellStart"/>
      <w:r>
        <w:rPr>
          <w:rFonts w:ascii="Times New Roman" w:eastAsia="Times New Roman" w:hAnsi="Times New Roman" w:cs="Times New Roman"/>
          <w:i/>
        </w:rPr>
        <w:t>Kherwar</w:t>
      </w:r>
      <w:proofErr w:type="spellEnd"/>
      <w:r>
        <w:rPr>
          <w:rFonts w:ascii="Times New Roman" w:eastAsia="Times New Roman" w:hAnsi="Times New Roman" w:cs="Times New Roman"/>
          <w:i/>
        </w:rPr>
        <w:t xml:space="preserve"> Movements in Bihar,  1858-1895</w:t>
      </w:r>
      <w:r>
        <w:rPr>
          <w:rFonts w:ascii="Times New Roman" w:eastAsia="Times New Roman" w:hAnsi="Times New Roman" w:cs="Times New Roman"/>
        </w:rPr>
        <w:t xml:space="preserve">. New Delhi: Manohar Publication. </w:t>
      </w:r>
    </w:p>
    <w:p w14:paraId="19F3B95B" w14:textId="77777777" w:rsidR="003934E1" w:rsidRDefault="00000000">
      <w:pPr>
        <w:widowControl w:val="0"/>
        <w:spacing w:before="30" w:line="343" w:lineRule="auto"/>
        <w:ind w:left="568" w:hanging="556"/>
        <w:rPr>
          <w:rFonts w:ascii="Times New Roman" w:eastAsia="Times New Roman" w:hAnsi="Times New Roman" w:cs="Times New Roman"/>
        </w:rPr>
      </w:pPr>
      <w:r>
        <w:rPr>
          <w:rFonts w:ascii="Times New Roman" w:eastAsia="Times New Roman" w:hAnsi="Times New Roman" w:cs="Times New Roman"/>
        </w:rPr>
        <w:t xml:space="preserve">Reid, John. (1912). </w:t>
      </w:r>
      <w:r>
        <w:rPr>
          <w:rFonts w:ascii="Times New Roman" w:eastAsia="Times New Roman" w:hAnsi="Times New Roman" w:cs="Times New Roman"/>
          <w:i/>
        </w:rPr>
        <w:t>Final Report on the Survey and Settlement Operations in the District of  Ranchi</w:t>
      </w:r>
      <w:r>
        <w:rPr>
          <w:rFonts w:ascii="Times New Roman" w:eastAsia="Times New Roman" w:hAnsi="Times New Roman" w:cs="Times New Roman"/>
        </w:rPr>
        <w:t xml:space="preserve">. Calcutta. </w:t>
      </w:r>
    </w:p>
    <w:p w14:paraId="361A8FE2" w14:textId="77777777" w:rsidR="003934E1" w:rsidRDefault="00000000">
      <w:pPr>
        <w:widowControl w:val="0"/>
        <w:spacing w:before="31" w:line="343" w:lineRule="auto"/>
        <w:ind w:left="555" w:right="-6" w:hanging="538"/>
        <w:rPr>
          <w:rFonts w:ascii="Times New Roman" w:eastAsia="Times New Roman" w:hAnsi="Times New Roman" w:cs="Times New Roman"/>
        </w:rPr>
      </w:pPr>
      <w:r>
        <w:rPr>
          <w:rFonts w:ascii="Times New Roman" w:eastAsia="Times New Roman" w:hAnsi="Times New Roman" w:cs="Times New Roman"/>
        </w:rPr>
        <w:t xml:space="preserve">Gossner Evangelical Lutheran Mission. (1864). </w:t>
      </w:r>
      <w:r>
        <w:rPr>
          <w:rFonts w:ascii="Times New Roman" w:eastAsia="Times New Roman" w:hAnsi="Times New Roman" w:cs="Times New Roman"/>
          <w:i/>
        </w:rPr>
        <w:t>Report of the Chota Nagpur Mission for the  year 1863</w:t>
      </w:r>
      <w:r>
        <w:rPr>
          <w:rFonts w:ascii="Times New Roman" w:eastAsia="Times New Roman" w:hAnsi="Times New Roman" w:cs="Times New Roman"/>
        </w:rPr>
        <w:t xml:space="preserve">. Calcutta. </w:t>
      </w:r>
    </w:p>
    <w:p w14:paraId="340E90F1" w14:textId="77777777" w:rsidR="003934E1" w:rsidRDefault="00000000">
      <w:pPr>
        <w:widowControl w:val="0"/>
        <w:spacing w:before="31" w:line="344" w:lineRule="auto"/>
        <w:ind w:left="11" w:right="234"/>
        <w:rPr>
          <w:rFonts w:ascii="Times New Roman" w:eastAsia="Times New Roman" w:hAnsi="Times New Roman" w:cs="Times New Roman"/>
          <w:color w:val="000009"/>
        </w:rPr>
      </w:pPr>
      <w:r>
        <w:rPr>
          <w:rFonts w:ascii="Times New Roman" w:eastAsia="Times New Roman" w:hAnsi="Times New Roman" w:cs="Times New Roman"/>
        </w:rPr>
        <w:t xml:space="preserve">Ricketts, H. (1855). </w:t>
      </w:r>
      <w:r>
        <w:rPr>
          <w:rFonts w:ascii="Times New Roman" w:eastAsia="Times New Roman" w:hAnsi="Times New Roman" w:cs="Times New Roman"/>
          <w:i/>
        </w:rPr>
        <w:t xml:space="preserve">Selections from the Records of the Government of Bengal </w:t>
      </w:r>
      <w:r>
        <w:rPr>
          <w:rFonts w:ascii="Times New Roman" w:eastAsia="Times New Roman" w:hAnsi="Times New Roman" w:cs="Times New Roman"/>
        </w:rPr>
        <w:t xml:space="preserve">XX. Calcutta. Roy, Sarat Chandra. (1912). </w:t>
      </w:r>
      <w:r>
        <w:rPr>
          <w:rFonts w:ascii="Times New Roman" w:eastAsia="Times New Roman" w:hAnsi="Times New Roman" w:cs="Times New Roman"/>
          <w:i/>
        </w:rPr>
        <w:t xml:space="preserve">The </w:t>
      </w:r>
      <w:proofErr w:type="spellStart"/>
      <w:r>
        <w:rPr>
          <w:rFonts w:ascii="Times New Roman" w:eastAsia="Times New Roman" w:hAnsi="Times New Roman" w:cs="Times New Roman"/>
          <w:i/>
        </w:rPr>
        <w:t>Mundas</w:t>
      </w:r>
      <w:proofErr w:type="spellEnd"/>
      <w:r>
        <w:rPr>
          <w:rFonts w:ascii="Times New Roman" w:eastAsia="Times New Roman" w:hAnsi="Times New Roman" w:cs="Times New Roman"/>
          <w:i/>
        </w:rPr>
        <w:t xml:space="preserve"> and Their Country</w:t>
      </w:r>
      <w:r>
        <w:rPr>
          <w:rFonts w:ascii="Times New Roman" w:eastAsia="Times New Roman" w:hAnsi="Times New Roman" w:cs="Times New Roman"/>
        </w:rPr>
        <w:t xml:space="preserve">. Calcutta: </w:t>
      </w:r>
      <w:proofErr w:type="spellStart"/>
      <w:r>
        <w:rPr>
          <w:rFonts w:ascii="Times New Roman" w:eastAsia="Times New Roman" w:hAnsi="Times New Roman" w:cs="Times New Roman"/>
        </w:rPr>
        <w:t>Kuntaline</w:t>
      </w:r>
      <w:proofErr w:type="spellEnd"/>
      <w:r>
        <w:rPr>
          <w:rFonts w:ascii="Times New Roman" w:eastAsia="Times New Roman" w:hAnsi="Times New Roman" w:cs="Times New Roman"/>
        </w:rPr>
        <w:t xml:space="preserve"> Press. </w:t>
      </w:r>
      <w:r>
        <w:rPr>
          <w:rFonts w:ascii="Times New Roman" w:eastAsia="Times New Roman" w:hAnsi="Times New Roman" w:cs="Times New Roman"/>
          <w:color w:val="000009"/>
        </w:rPr>
        <w:t xml:space="preserve">Temple, Richard. (1896). </w:t>
      </w:r>
      <w:r>
        <w:rPr>
          <w:rFonts w:ascii="Times New Roman" w:eastAsia="Times New Roman" w:hAnsi="Times New Roman" w:cs="Times New Roman"/>
          <w:i/>
          <w:color w:val="000009"/>
        </w:rPr>
        <w:t xml:space="preserve">The Story of My Life </w:t>
      </w:r>
      <w:r>
        <w:rPr>
          <w:rFonts w:ascii="Times New Roman" w:eastAsia="Times New Roman" w:hAnsi="Times New Roman" w:cs="Times New Roman"/>
          <w:color w:val="000009"/>
        </w:rPr>
        <w:t xml:space="preserve">I. London. </w:t>
      </w:r>
    </w:p>
    <w:p w14:paraId="2DDB3E1A" w14:textId="77777777" w:rsidR="003934E1" w:rsidRDefault="00000000">
      <w:pPr>
        <w:widowControl w:val="0"/>
        <w:spacing w:before="27" w:line="345" w:lineRule="auto"/>
        <w:ind w:left="575" w:right="-2" w:hanging="552"/>
        <w:jc w:val="both"/>
        <w:rPr>
          <w:rFonts w:ascii="Times New Roman" w:eastAsia="Times New Roman" w:hAnsi="Times New Roman" w:cs="Times New Roman"/>
        </w:rPr>
      </w:pPr>
      <w:r>
        <w:rPr>
          <w:rFonts w:ascii="Times New Roman" w:eastAsia="Times New Roman" w:hAnsi="Times New Roman" w:cs="Times New Roman"/>
        </w:rPr>
        <w:t xml:space="preserve">Sinha, C.P.N. ed. (1996). </w:t>
      </w:r>
      <w:r>
        <w:rPr>
          <w:rFonts w:ascii="Times New Roman" w:eastAsia="Times New Roman" w:hAnsi="Times New Roman" w:cs="Times New Roman"/>
          <w:i/>
        </w:rPr>
        <w:t>India Tracts: Major J. Browne’s Report of Jungle Tarai People of  South Bihar during 1774-1779</w:t>
      </w:r>
      <w:r>
        <w:rPr>
          <w:rFonts w:ascii="Times New Roman" w:eastAsia="Times New Roman" w:hAnsi="Times New Roman" w:cs="Times New Roman"/>
        </w:rPr>
        <w:t xml:space="preserve">. Darbhanga: </w:t>
      </w:r>
      <w:proofErr w:type="spellStart"/>
      <w:r>
        <w:rPr>
          <w:rFonts w:ascii="Times New Roman" w:eastAsia="Times New Roman" w:hAnsi="Times New Roman" w:cs="Times New Roman"/>
        </w:rPr>
        <w:t>Maharajadhiraja</w:t>
      </w:r>
      <w:proofErr w:type="spellEnd"/>
      <w:r>
        <w:rPr>
          <w:rFonts w:ascii="Times New Roman" w:eastAsia="Times New Roman" w:hAnsi="Times New Roman" w:cs="Times New Roman"/>
        </w:rPr>
        <w:t xml:space="preserve"> Kameshwar Singh Kalyani  Foundation.  </w:t>
      </w:r>
    </w:p>
    <w:p w14:paraId="4EEA2909" w14:textId="77777777" w:rsidR="003934E1" w:rsidRDefault="00000000">
      <w:pPr>
        <w:widowControl w:val="0"/>
        <w:spacing w:before="30"/>
        <w:ind w:left="10"/>
        <w:rPr>
          <w:rFonts w:ascii="Times New Roman" w:eastAsia="Times New Roman" w:hAnsi="Times New Roman" w:cs="Times New Roman"/>
        </w:rPr>
      </w:pPr>
      <w:r>
        <w:rPr>
          <w:rFonts w:ascii="Times New Roman" w:eastAsia="Times New Roman" w:hAnsi="Times New Roman" w:cs="Times New Roman"/>
        </w:rPr>
        <w:t xml:space="preserve">Whitley, E.H. (1901). </w:t>
      </w:r>
      <w:r>
        <w:rPr>
          <w:rFonts w:ascii="Times New Roman" w:eastAsia="Times New Roman" w:hAnsi="Times New Roman" w:cs="Times New Roman"/>
          <w:i/>
        </w:rPr>
        <w:t>Historical Sketches: Chota Nagpur</w:t>
      </w:r>
      <w:r>
        <w:rPr>
          <w:rFonts w:ascii="Times New Roman" w:eastAsia="Times New Roman" w:hAnsi="Times New Roman" w:cs="Times New Roman"/>
        </w:rPr>
        <w:t xml:space="preserve">. Westminster S.W. </w:t>
      </w:r>
    </w:p>
    <w:p w14:paraId="083523F3" w14:textId="77777777" w:rsidR="003934E1" w:rsidRDefault="00000000">
      <w:pPr>
        <w:widowControl w:val="0"/>
        <w:spacing w:before="408"/>
        <w:ind w:left="22"/>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Secondary Readings </w:t>
      </w:r>
    </w:p>
    <w:p w14:paraId="79B0E768" w14:textId="77777777" w:rsidR="003934E1" w:rsidRDefault="00000000">
      <w:pPr>
        <w:widowControl w:val="0"/>
        <w:spacing w:before="233" w:line="345" w:lineRule="auto"/>
        <w:ind w:left="568" w:right="-4" w:hanging="559"/>
        <w:rPr>
          <w:rFonts w:ascii="Times New Roman" w:eastAsia="Times New Roman" w:hAnsi="Times New Roman" w:cs="Times New Roman"/>
        </w:rPr>
      </w:pPr>
      <w:r>
        <w:rPr>
          <w:rFonts w:ascii="Times New Roman" w:eastAsia="Times New Roman" w:hAnsi="Times New Roman" w:cs="Times New Roman"/>
        </w:rPr>
        <w:t xml:space="preserve">Andersen, Peter B., Carrin, M., and Soren, S.S.K. (2011). </w:t>
      </w:r>
      <w:r>
        <w:rPr>
          <w:rFonts w:ascii="Times New Roman" w:eastAsia="Times New Roman" w:hAnsi="Times New Roman" w:cs="Times New Roman"/>
          <w:i/>
        </w:rPr>
        <w:t>From Fire Rain to Rebellion:  Reasserting Ethnic Identity Through Narrative</w:t>
      </w:r>
      <w:r>
        <w:rPr>
          <w:rFonts w:ascii="Times New Roman" w:eastAsia="Times New Roman" w:hAnsi="Times New Roman" w:cs="Times New Roman"/>
        </w:rPr>
        <w:t xml:space="preserve">. India: Manohar. </w:t>
      </w:r>
    </w:p>
    <w:p w14:paraId="12AA8196" w14:textId="77777777" w:rsidR="003934E1" w:rsidRDefault="00000000">
      <w:pPr>
        <w:widowControl w:val="0"/>
        <w:spacing w:before="26" w:line="345" w:lineRule="auto"/>
        <w:ind w:left="568" w:right="-4" w:hanging="557"/>
        <w:jc w:val="both"/>
        <w:rPr>
          <w:rFonts w:ascii="Times New Roman" w:eastAsia="Times New Roman" w:hAnsi="Times New Roman" w:cs="Times New Roman"/>
        </w:rPr>
      </w:pPr>
      <w:r>
        <w:rPr>
          <w:rFonts w:ascii="Times New Roman" w:eastAsia="Times New Roman" w:hAnsi="Times New Roman" w:cs="Times New Roman"/>
        </w:rPr>
        <w:t xml:space="preserve">Banerjee, Prathama. (2016). ‘Writing the Adivasi: Some Historiographical Notes.’ </w:t>
      </w:r>
      <w:r>
        <w:rPr>
          <w:rFonts w:ascii="Times New Roman" w:eastAsia="Times New Roman" w:hAnsi="Times New Roman" w:cs="Times New Roman"/>
          <w:i/>
        </w:rPr>
        <w:t xml:space="preserve">The Indian  Economic and Social History Review </w:t>
      </w:r>
      <w:r>
        <w:rPr>
          <w:rFonts w:ascii="Times New Roman" w:eastAsia="Times New Roman" w:hAnsi="Times New Roman" w:cs="Times New Roman"/>
        </w:rPr>
        <w:t xml:space="preserve">53 (1), 1-23. Los Angeles/London/New  Delhi/Singapore/Washington, DC: SAGE. </w:t>
      </w:r>
      <w:r>
        <w:rPr>
          <w:rFonts w:ascii="Times New Roman" w:eastAsia="Times New Roman" w:hAnsi="Times New Roman" w:cs="Times New Roman"/>
          <w:color w:val="0563C1"/>
          <w:u w:val="single"/>
        </w:rPr>
        <w:t>https://doi.org/10.1177/0019464615619549</w:t>
      </w:r>
      <w:r>
        <w:rPr>
          <w:rFonts w:ascii="Times New Roman" w:eastAsia="Times New Roman" w:hAnsi="Times New Roman" w:cs="Times New Roman"/>
        </w:rPr>
        <w:t xml:space="preserve">. </w:t>
      </w:r>
    </w:p>
    <w:p w14:paraId="323A1443" w14:textId="77777777" w:rsidR="003934E1" w:rsidRDefault="00000000">
      <w:pPr>
        <w:widowControl w:val="0"/>
        <w:spacing w:before="30" w:line="344" w:lineRule="auto"/>
        <w:ind w:left="555" w:right="-5" w:hanging="543"/>
        <w:jc w:val="both"/>
        <w:rPr>
          <w:rFonts w:ascii="Times New Roman" w:eastAsia="Times New Roman" w:hAnsi="Times New Roman" w:cs="Times New Roman"/>
        </w:rPr>
      </w:pPr>
      <w:r>
        <w:rPr>
          <w:rFonts w:ascii="Times New Roman" w:eastAsia="Times New Roman" w:hAnsi="Times New Roman" w:cs="Times New Roman"/>
        </w:rPr>
        <w:t xml:space="preserve">Bara, Anubhuti Agnes. (2024). ‘Regimenting the Rebellious: Colonial ‘Non-Regulation’  Governance against Adivasi Assertion in Eastern India, 1830-1855.’ </w:t>
      </w:r>
      <w:r>
        <w:rPr>
          <w:rFonts w:ascii="Times New Roman" w:eastAsia="Times New Roman" w:hAnsi="Times New Roman" w:cs="Times New Roman"/>
          <w:i/>
        </w:rPr>
        <w:t xml:space="preserve">Journal of Adivasi  and Indigenous Studies (JAIS) </w:t>
      </w:r>
      <w:r>
        <w:rPr>
          <w:rFonts w:ascii="Times New Roman" w:eastAsia="Times New Roman" w:hAnsi="Times New Roman" w:cs="Times New Roman"/>
        </w:rPr>
        <w:t xml:space="preserve">XIV (2) August, 1-18. A bi-annual peer-reviewed online  journal posted on Academia.edu ©2024 JAIS, ISSN (online) 2394-5524. </w:t>
      </w:r>
    </w:p>
    <w:p w14:paraId="79280DBA" w14:textId="77777777" w:rsidR="003934E1" w:rsidRDefault="00000000">
      <w:pPr>
        <w:widowControl w:val="0"/>
        <w:spacing w:before="30" w:line="345" w:lineRule="auto"/>
        <w:ind w:left="575" w:right="-5" w:hanging="563"/>
        <w:jc w:val="both"/>
        <w:rPr>
          <w:rFonts w:ascii="Times New Roman" w:eastAsia="Times New Roman" w:hAnsi="Times New Roman" w:cs="Times New Roman"/>
        </w:rPr>
      </w:pPr>
      <w:r>
        <w:rPr>
          <w:rFonts w:ascii="Times New Roman" w:eastAsia="Times New Roman" w:hAnsi="Times New Roman" w:cs="Times New Roman"/>
        </w:rPr>
        <w:t xml:space="preserve">Bara, Joseph. (2009). ‘Alien Construct and Tribal Contestation in Colonial </w:t>
      </w:r>
      <w:proofErr w:type="spellStart"/>
      <w:r>
        <w:rPr>
          <w:rFonts w:ascii="Times New Roman" w:eastAsia="Times New Roman" w:hAnsi="Times New Roman" w:cs="Times New Roman"/>
        </w:rPr>
        <w:t>Chhotanagpur</w:t>
      </w:r>
      <w:proofErr w:type="spellEnd"/>
      <w:r>
        <w:rPr>
          <w:rFonts w:ascii="Times New Roman" w:eastAsia="Times New Roman" w:hAnsi="Times New Roman" w:cs="Times New Roman"/>
        </w:rPr>
        <w:t xml:space="preserve">: The  Medium of Christianity.’ </w:t>
      </w:r>
      <w:r>
        <w:rPr>
          <w:rFonts w:ascii="Times New Roman" w:eastAsia="Times New Roman" w:hAnsi="Times New Roman" w:cs="Times New Roman"/>
          <w:i/>
        </w:rPr>
        <w:t xml:space="preserve">Economic and Political Weekly </w:t>
      </w:r>
      <w:r>
        <w:rPr>
          <w:rFonts w:ascii="Times New Roman" w:eastAsia="Times New Roman" w:hAnsi="Times New Roman" w:cs="Times New Roman"/>
        </w:rPr>
        <w:t xml:space="preserve">44 (52), 90-96.  </w:t>
      </w:r>
      <w:r>
        <w:rPr>
          <w:rFonts w:ascii="Times New Roman" w:eastAsia="Times New Roman" w:hAnsi="Times New Roman" w:cs="Times New Roman"/>
          <w:color w:val="0563C1"/>
          <w:u w:val="single"/>
        </w:rPr>
        <w:t>http://www.jstor.org/stable/25663944</w:t>
      </w:r>
      <w:r>
        <w:rPr>
          <w:rFonts w:ascii="Times New Roman" w:eastAsia="Times New Roman" w:hAnsi="Times New Roman" w:cs="Times New Roman"/>
        </w:rPr>
        <w:t xml:space="preserve">. </w:t>
      </w:r>
    </w:p>
    <w:p w14:paraId="10A38C0A" w14:textId="77777777" w:rsidR="003934E1" w:rsidRDefault="00000000">
      <w:pPr>
        <w:widowControl w:val="0"/>
        <w:spacing w:before="27" w:line="344" w:lineRule="auto"/>
        <w:ind w:left="575" w:right="-4" w:hanging="564"/>
        <w:jc w:val="both"/>
        <w:rPr>
          <w:rFonts w:ascii="Times New Roman" w:eastAsia="Times New Roman" w:hAnsi="Times New Roman" w:cs="Times New Roman"/>
        </w:rPr>
      </w:pPr>
      <w:r>
        <w:rPr>
          <w:rFonts w:ascii="Times New Roman" w:eastAsia="Times New Roman" w:hAnsi="Times New Roman" w:cs="Times New Roman"/>
        </w:rPr>
        <w:t xml:space="preserve">Bara, Joseph. (2022). ‘Birsa Munda and the Nation.’ </w:t>
      </w:r>
      <w:r>
        <w:rPr>
          <w:rFonts w:ascii="Times New Roman" w:eastAsia="Times New Roman" w:hAnsi="Times New Roman" w:cs="Times New Roman"/>
          <w:i/>
        </w:rPr>
        <w:t xml:space="preserve">Journal of Adivasi and Indigenous Studies  (JAIS) </w:t>
      </w:r>
      <w:r>
        <w:rPr>
          <w:rFonts w:ascii="Times New Roman" w:eastAsia="Times New Roman" w:hAnsi="Times New Roman" w:cs="Times New Roman"/>
        </w:rPr>
        <w:t>XII (2) August 2022, 1-23. A bi-annual peer-reviewed online journal posted on  Academia.edu ©2024 JAIS, ISSN (online) 2394-5524.</w:t>
      </w:r>
    </w:p>
    <w:p w14:paraId="6D400BA9" w14:textId="77777777" w:rsidR="003934E1" w:rsidRDefault="00000000">
      <w:pPr>
        <w:widowControl w:val="0"/>
        <w:ind w:right="53"/>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20 </w:t>
      </w:r>
    </w:p>
    <w:p w14:paraId="4D0C3CCB"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69850EE3" w14:textId="77777777" w:rsidR="003934E1" w:rsidRDefault="00000000">
      <w:pPr>
        <w:widowControl w:val="0"/>
        <w:spacing w:before="579" w:line="344" w:lineRule="auto"/>
        <w:ind w:left="580" w:hanging="568"/>
        <w:rPr>
          <w:rFonts w:ascii="Times New Roman" w:eastAsia="Times New Roman" w:hAnsi="Times New Roman" w:cs="Times New Roman"/>
        </w:rPr>
      </w:pPr>
      <w:r>
        <w:rPr>
          <w:rFonts w:ascii="Times New Roman" w:eastAsia="Times New Roman" w:hAnsi="Times New Roman" w:cs="Times New Roman"/>
        </w:rPr>
        <w:t xml:space="preserve">Bates, Crispin. (1995). ‘Race, caste and tribe in Central India: The early origins of Indian  anthropometry’ (pp. 219-259). In Peter Robb ed. </w:t>
      </w:r>
      <w:r>
        <w:rPr>
          <w:rFonts w:ascii="Times New Roman" w:eastAsia="Times New Roman" w:hAnsi="Times New Roman" w:cs="Times New Roman"/>
          <w:i/>
        </w:rPr>
        <w:t>The Concept of Race in South Asia</w:t>
      </w:r>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India: Oxford University Press.  </w:t>
      </w:r>
    </w:p>
    <w:p w14:paraId="3098FDD2" w14:textId="77777777" w:rsidR="003934E1" w:rsidRDefault="00000000">
      <w:pPr>
        <w:widowControl w:val="0"/>
        <w:spacing w:before="27" w:line="345" w:lineRule="auto"/>
        <w:ind w:left="567" w:right="-3" w:hanging="555"/>
        <w:rPr>
          <w:rFonts w:ascii="Times New Roman" w:eastAsia="Times New Roman" w:hAnsi="Times New Roman" w:cs="Times New Roman"/>
        </w:rPr>
      </w:pPr>
      <w:proofErr w:type="spellStart"/>
      <w:r>
        <w:rPr>
          <w:rFonts w:ascii="Times New Roman" w:eastAsia="Times New Roman" w:hAnsi="Times New Roman" w:cs="Times New Roman"/>
        </w:rPr>
        <w:t>Baviskar</w:t>
      </w:r>
      <w:proofErr w:type="spellEnd"/>
      <w:r>
        <w:rPr>
          <w:rFonts w:ascii="Times New Roman" w:eastAsia="Times New Roman" w:hAnsi="Times New Roman" w:cs="Times New Roman"/>
        </w:rPr>
        <w:t xml:space="preserve">, Amita. (2005). </w:t>
      </w:r>
      <w:r>
        <w:rPr>
          <w:rFonts w:ascii="Times New Roman" w:eastAsia="Times New Roman" w:hAnsi="Times New Roman" w:cs="Times New Roman"/>
          <w:i/>
        </w:rPr>
        <w:t>In the Belly of the River: Tribal Conflicts over Development in the  Narmada Valley</w:t>
      </w:r>
      <w:r>
        <w:rPr>
          <w:rFonts w:ascii="Times New Roman" w:eastAsia="Times New Roman" w:hAnsi="Times New Roman" w:cs="Times New Roman"/>
        </w:rPr>
        <w:t xml:space="preserve">. Oxford University Press. </w:t>
      </w:r>
    </w:p>
    <w:p w14:paraId="784E3595" w14:textId="77777777" w:rsidR="003934E1" w:rsidRDefault="00000000">
      <w:pPr>
        <w:widowControl w:val="0"/>
        <w:spacing w:before="26" w:line="345" w:lineRule="auto"/>
        <w:ind w:left="578" w:right="-4" w:hanging="566"/>
        <w:jc w:val="both"/>
        <w:rPr>
          <w:rFonts w:ascii="Times New Roman" w:eastAsia="Times New Roman" w:hAnsi="Times New Roman" w:cs="Times New Roman"/>
        </w:rPr>
      </w:pPr>
      <w:proofErr w:type="spellStart"/>
      <w:r>
        <w:rPr>
          <w:rFonts w:ascii="Times New Roman" w:eastAsia="Times New Roman" w:hAnsi="Times New Roman" w:cs="Times New Roman"/>
        </w:rPr>
        <w:t>Bentrovato</w:t>
      </w:r>
      <w:proofErr w:type="spellEnd"/>
      <w:r>
        <w:rPr>
          <w:rFonts w:ascii="Times New Roman" w:eastAsia="Times New Roman" w:hAnsi="Times New Roman" w:cs="Times New Roman"/>
        </w:rPr>
        <w:t xml:space="preserve">, Denise. (2017). ‘History Textbook Writing in Post-Conflict Societies: From  Battlefield to Site and Means of Conflict Transformation,’ (pp. 37-76). In Charis Psaltis,  Mario Carretero, and Sabina </w:t>
      </w:r>
      <w:proofErr w:type="spellStart"/>
      <w:r>
        <w:rPr>
          <w:rFonts w:ascii="Times New Roman" w:eastAsia="Times New Roman" w:hAnsi="Times New Roman" w:cs="Times New Roman"/>
        </w:rPr>
        <w:t>Čehajić</w:t>
      </w:r>
      <w:proofErr w:type="spellEnd"/>
      <w:r>
        <w:rPr>
          <w:rFonts w:ascii="Times New Roman" w:eastAsia="Times New Roman" w:hAnsi="Times New Roman" w:cs="Times New Roman"/>
        </w:rPr>
        <w:t xml:space="preserve">-Clancy et. al. </w:t>
      </w:r>
      <w:r>
        <w:rPr>
          <w:rFonts w:ascii="Times New Roman" w:eastAsia="Times New Roman" w:hAnsi="Times New Roman" w:cs="Times New Roman"/>
          <w:i/>
        </w:rPr>
        <w:t>History Education and Conflict  Transformation: Social Psychological Theories, History Teaching and Reconciliation</w:t>
      </w:r>
      <w:r>
        <w:rPr>
          <w:rFonts w:ascii="Times New Roman" w:eastAsia="Times New Roman" w:hAnsi="Times New Roman" w:cs="Times New Roman"/>
        </w:rPr>
        <w:t xml:space="preserve">. </w:t>
      </w:r>
    </w:p>
    <w:p w14:paraId="6B6A7C3A" w14:textId="77777777" w:rsidR="003934E1" w:rsidRDefault="00000000">
      <w:pPr>
        <w:widowControl w:val="0"/>
        <w:spacing w:before="27"/>
        <w:ind w:left="582"/>
        <w:rPr>
          <w:rFonts w:ascii="Times New Roman" w:eastAsia="Times New Roman" w:hAnsi="Times New Roman" w:cs="Times New Roman"/>
        </w:rPr>
      </w:pPr>
      <w:r>
        <w:rPr>
          <w:rFonts w:ascii="Times New Roman" w:eastAsia="Times New Roman" w:hAnsi="Times New Roman" w:cs="Times New Roman"/>
        </w:rPr>
        <w:t xml:space="preserve">Cham: Springer International Publishing. </w:t>
      </w:r>
    </w:p>
    <w:p w14:paraId="6F2CBADF" w14:textId="77777777" w:rsidR="003934E1" w:rsidRDefault="00000000">
      <w:pPr>
        <w:widowControl w:val="0"/>
        <w:spacing w:before="135" w:line="343" w:lineRule="auto"/>
        <w:ind w:left="575" w:right="-5" w:hanging="563"/>
        <w:rPr>
          <w:rFonts w:ascii="Times New Roman" w:eastAsia="Times New Roman" w:hAnsi="Times New Roman" w:cs="Times New Roman"/>
        </w:rPr>
      </w:pPr>
      <w:proofErr w:type="spellStart"/>
      <w:r>
        <w:rPr>
          <w:rFonts w:ascii="Times New Roman" w:eastAsia="Times New Roman" w:hAnsi="Times New Roman" w:cs="Times New Roman"/>
        </w:rPr>
        <w:t>Béteille</w:t>
      </w:r>
      <w:proofErr w:type="spellEnd"/>
      <w:r>
        <w:rPr>
          <w:rFonts w:ascii="Times New Roman" w:eastAsia="Times New Roman" w:hAnsi="Times New Roman" w:cs="Times New Roman"/>
        </w:rPr>
        <w:t xml:space="preserve">, André. (1991). </w:t>
      </w:r>
      <w:r>
        <w:rPr>
          <w:rFonts w:ascii="Times New Roman" w:eastAsia="Times New Roman" w:hAnsi="Times New Roman" w:cs="Times New Roman"/>
          <w:i/>
        </w:rPr>
        <w:t>Society and Politics in India: Essays in a Comparative Perspective</w:t>
      </w:r>
      <w:r>
        <w:rPr>
          <w:rFonts w:ascii="Times New Roman" w:eastAsia="Times New Roman" w:hAnsi="Times New Roman" w:cs="Times New Roman"/>
        </w:rPr>
        <w:t xml:space="preserve">.  United Kingdom: Berg Publishers. </w:t>
      </w:r>
    </w:p>
    <w:p w14:paraId="2209FC51" w14:textId="77777777" w:rsidR="003934E1" w:rsidRDefault="00000000">
      <w:pPr>
        <w:widowControl w:val="0"/>
        <w:spacing w:before="31" w:line="344" w:lineRule="auto"/>
        <w:ind w:left="575" w:right="-5" w:hanging="563"/>
        <w:jc w:val="both"/>
        <w:rPr>
          <w:rFonts w:ascii="Times New Roman" w:eastAsia="Times New Roman" w:hAnsi="Times New Roman" w:cs="Times New Roman"/>
        </w:rPr>
      </w:pPr>
      <w:r>
        <w:rPr>
          <w:rFonts w:ascii="Times New Roman" w:eastAsia="Times New Roman" w:hAnsi="Times New Roman" w:cs="Times New Roman"/>
        </w:rPr>
        <w:t xml:space="preserve">Bhukya, </w:t>
      </w:r>
      <w:proofErr w:type="spellStart"/>
      <w:r>
        <w:rPr>
          <w:rFonts w:ascii="Times New Roman" w:eastAsia="Times New Roman" w:hAnsi="Times New Roman" w:cs="Times New Roman"/>
        </w:rPr>
        <w:t>Bhangya</w:t>
      </w:r>
      <w:proofErr w:type="spellEnd"/>
      <w:r>
        <w:rPr>
          <w:rFonts w:ascii="Times New Roman" w:eastAsia="Times New Roman" w:hAnsi="Times New Roman" w:cs="Times New Roman"/>
        </w:rPr>
        <w:t xml:space="preserve">. (2008). ‘The Mapping of the Adivasi Social: Colonial Anthropology and  Adivasis.’ </w:t>
      </w:r>
      <w:r>
        <w:rPr>
          <w:rFonts w:ascii="Times New Roman" w:eastAsia="Times New Roman" w:hAnsi="Times New Roman" w:cs="Times New Roman"/>
          <w:i/>
        </w:rPr>
        <w:t xml:space="preserve">Economic and Political Weekly </w:t>
      </w:r>
      <w:r>
        <w:rPr>
          <w:rFonts w:ascii="Times New Roman" w:eastAsia="Times New Roman" w:hAnsi="Times New Roman" w:cs="Times New Roman"/>
        </w:rPr>
        <w:t xml:space="preserve">43 (5) January, 103-109.  </w:t>
      </w:r>
      <w:r>
        <w:rPr>
          <w:rFonts w:ascii="Times New Roman" w:eastAsia="Times New Roman" w:hAnsi="Times New Roman" w:cs="Times New Roman"/>
          <w:color w:val="0563C1"/>
          <w:u w:val="single"/>
        </w:rPr>
        <w:t>https://doi.org/10.2307/40278007</w:t>
      </w:r>
      <w:r>
        <w:rPr>
          <w:rFonts w:ascii="Times New Roman" w:eastAsia="Times New Roman" w:hAnsi="Times New Roman" w:cs="Times New Roman"/>
        </w:rPr>
        <w:t xml:space="preserve">. </w:t>
      </w:r>
    </w:p>
    <w:p w14:paraId="74217A47" w14:textId="77777777" w:rsidR="003934E1" w:rsidRDefault="00000000">
      <w:pPr>
        <w:widowControl w:val="0"/>
        <w:spacing w:before="28" w:line="345" w:lineRule="auto"/>
        <w:ind w:left="578" w:right="-2" w:hanging="566"/>
        <w:rPr>
          <w:rFonts w:ascii="Times New Roman" w:eastAsia="Times New Roman" w:hAnsi="Times New Roman" w:cs="Times New Roman"/>
        </w:rPr>
      </w:pPr>
      <w:r>
        <w:rPr>
          <w:rFonts w:ascii="Times New Roman" w:eastAsia="Times New Roman" w:hAnsi="Times New Roman" w:cs="Times New Roman"/>
        </w:rPr>
        <w:t xml:space="preserve">Bijoy, C. R. (2001). ‘The Adivasis of India - A History of Discrimination, Conflict and  Resistance.’ </w:t>
      </w:r>
      <w:r>
        <w:rPr>
          <w:rFonts w:ascii="Times New Roman" w:eastAsia="Times New Roman" w:hAnsi="Times New Roman" w:cs="Times New Roman"/>
          <w:i/>
        </w:rPr>
        <w:t xml:space="preserve">Indigenous Affairs </w:t>
      </w:r>
      <w:r>
        <w:rPr>
          <w:rFonts w:ascii="Times New Roman" w:eastAsia="Times New Roman" w:hAnsi="Times New Roman" w:cs="Times New Roman"/>
        </w:rPr>
        <w:t xml:space="preserve">1, 54-61. </w:t>
      </w:r>
    </w:p>
    <w:p w14:paraId="435CE13E" w14:textId="77777777" w:rsidR="003934E1" w:rsidRDefault="00000000">
      <w:pPr>
        <w:widowControl w:val="0"/>
        <w:spacing w:before="26" w:line="345" w:lineRule="auto"/>
        <w:ind w:left="579" w:right="-3" w:hanging="567"/>
        <w:rPr>
          <w:rFonts w:ascii="Times New Roman" w:eastAsia="Times New Roman" w:hAnsi="Times New Roman" w:cs="Times New Roman"/>
        </w:rPr>
      </w:pPr>
      <w:r>
        <w:rPr>
          <w:rFonts w:ascii="Times New Roman" w:eastAsia="Times New Roman" w:hAnsi="Times New Roman" w:cs="Times New Roman"/>
        </w:rPr>
        <w:t xml:space="preserve">Bleie, T. (2023). </w:t>
      </w:r>
      <w:r>
        <w:rPr>
          <w:rFonts w:ascii="Times New Roman" w:eastAsia="Times New Roman" w:hAnsi="Times New Roman" w:cs="Times New Roman"/>
          <w:i/>
        </w:rPr>
        <w:t>A New Testament: Scandinavian missionaries and Santal chiefs from Company  and British Crown rule to independence</w:t>
      </w:r>
      <w:r>
        <w:rPr>
          <w:rFonts w:ascii="Times New Roman" w:eastAsia="Times New Roman" w:hAnsi="Times New Roman" w:cs="Times New Roman"/>
        </w:rPr>
        <w:t xml:space="preserve">. Solum </w:t>
      </w:r>
      <w:proofErr w:type="spellStart"/>
      <w:r>
        <w:rPr>
          <w:rFonts w:ascii="Times New Roman" w:eastAsia="Times New Roman" w:hAnsi="Times New Roman" w:cs="Times New Roman"/>
        </w:rPr>
        <w:t>Bokvenne</w:t>
      </w:r>
      <w:proofErr w:type="spellEnd"/>
      <w:r>
        <w:rPr>
          <w:rFonts w:ascii="Times New Roman" w:eastAsia="Times New Roman" w:hAnsi="Times New Roman" w:cs="Times New Roman"/>
        </w:rPr>
        <w:t xml:space="preserve">. </w:t>
      </w:r>
    </w:p>
    <w:p w14:paraId="5D39CD21" w14:textId="77777777" w:rsidR="003934E1" w:rsidRDefault="00000000">
      <w:pPr>
        <w:widowControl w:val="0"/>
        <w:spacing w:before="26" w:line="345" w:lineRule="auto"/>
        <w:ind w:left="582" w:right="56" w:hanging="571"/>
        <w:rPr>
          <w:rFonts w:ascii="Times New Roman" w:eastAsia="Times New Roman" w:hAnsi="Times New Roman" w:cs="Times New Roman"/>
        </w:rPr>
      </w:pPr>
      <w:r>
        <w:rPr>
          <w:rFonts w:ascii="Times New Roman" w:eastAsia="Times New Roman" w:hAnsi="Times New Roman" w:cs="Times New Roman"/>
        </w:rPr>
        <w:t xml:space="preserve">Bose, Nirmal Kumar. (1941). ‘The Hindu Method of Tribal Absorption.’ </w:t>
      </w:r>
      <w:r>
        <w:rPr>
          <w:rFonts w:ascii="Times New Roman" w:eastAsia="Times New Roman" w:hAnsi="Times New Roman" w:cs="Times New Roman"/>
          <w:i/>
        </w:rPr>
        <w:t xml:space="preserve">Science and Culture </w:t>
      </w:r>
      <w:r>
        <w:rPr>
          <w:rFonts w:ascii="Times New Roman" w:eastAsia="Times New Roman" w:hAnsi="Times New Roman" w:cs="Times New Roman"/>
        </w:rPr>
        <w:t xml:space="preserve">7, 188-194. </w:t>
      </w:r>
    </w:p>
    <w:p w14:paraId="0D7F6161" w14:textId="77777777" w:rsidR="003934E1" w:rsidRDefault="00000000">
      <w:pPr>
        <w:widowControl w:val="0"/>
        <w:spacing w:before="26" w:line="345" w:lineRule="auto"/>
        <w:ind w:left="568" w:right="-2" w:hanging="552"/>
        <w:jc w:val="both"/>
        <w:rPr>
          <w:rFonts w:ascii="Times New Roman" w:eastAsia="Times New Roman" w:hAnsi="Times New Roman" w:cs="Times New Roman"/>
        </w:rPr>
      </w:pPr>
      <w:r>
        <w:rPr>
          <w:rFonts w:ascii="Times New Roman" w:eastAsia="Times New Roman" w:hAnsi="Times New Roman" w:cs="Times New Roman"/>
        </w:rPr>
        <w:t xml:space="preserve">Chandra, Uday. (2016). ‘Flaming Fields and Forest Fires: Agrarian Transformations and the  Making of Birsa Munda’s Rebellion’, in </w:t>
      </w:r>
      <w:r>
        <w:rPr>
          <w:rFonts w:ascii="Times New Roman" w:eastAsia="Times New Roman" w:hAnsi="Times New Roman" w:cs="Times New Roman"/>
          <w:i/>
        </w:rPr>
        <w:t>The Indian Economic and Social History  Review</w:t>
      </w:r>
      <w:r>
        <w:rPr>
          <w:rFonts w:ascii="Times New Roman" w:eastAsia="Times New Roman" w:hAnsi="Times New Roman" w:cs="Times New Roman"/>
        </w:rPr>
        <w:t xml:space="preserve">, 53 (1), 13-37. </w:t>
      </w:r>
      <w:r>
        <w:rPr>
          <w:rFonts w:ascii="Times New Roman" w:eastAsia="Times New Roman" w:hAnsi="Times New Roman" w:cs="Times New Roman"/>
          <w:color w:val="0563C1"/>
          <w:u w:val="single"/>
        </w:rPr>
        <w:t>https://doi.org/10.1177/0019464615617706</w:t>
      </w:r>
      <w:r>
        <w:rPr>
          <w:rFonts w:ascii="Times New Roman" w:eastAsia="Times New Roman" w:hAnsi="Times New Roman" w:cs="Times New Roman"/>
        </w:rPr>
        <w:t xml:space="preserve">.  </w:t>
      </w:r>
    </w:p>
    <w:p w14:paraId="6AC77969" w14:textId="77777777" w:rsidR="003934E1" w:rsidRDefault="00000000">
      <w:pPr>
        <w:widowControl w:val="0"/>
        <w:spacing w:before="30" w:line="344" w:lineRule="auto"/>
        <w:ind w:left="578" w:right="-2" w:hanging="561"/>
        <w:jc w:val="both"/>
        <w:rPr>
          <w:rFonts w:ascii="Times New Roman" w:eastAsia="Times New Roman" w:hAnsi="Times New Roman" w:cs="Times New Roman"/>
        </w:rPr>
      </w:pPr>
      <w:r>
        <w:rPr>
          <w:rFonts w:ascii="Times New Roman" w:eastAsia="Times New Roman" w:hAnsi="Times New Roman" w:cs="Times New Roman"/>
        </w:rPr>
        <w:t xml:space="preserve">Chaudhuri, B.B. (2002). ‘Society and Culture of the Tribal World in Colonial India:  Reconsidering the Notion of “Hinduisation” of Tribes.’ In </w:t>
      </w:r>
      <w:proofErr w:type="spellStart"/>
      <w:r>
        <w:rPr>
          <w:rFonts w:ascii="Times New Roman" w:eastAsia="Times New Roman" w:hAnsi="Times New Roman" w:cs="Times New Roman"/>
        </w:rPr>
        <w:t>Hetukar</w:t>
      </w:r>
      <w:proofErr w:type="spellEnd"/>
      <w:r>
        <w:rPr>
          <w:rFonts w:ascii="Times New Roman" w:eastAsia="Times New Roman" w:hAnsi="Times New Roman" w:cs="Times New Roman"/>
        </w:rPr>
        <w:t xml:space="preserve"> Jha ed. Perspective  on Indian Society and History: A Critique. New Delhi: Manohar Publishers and  Distributors.  </w:t>
      </w:r>
    </w:p>
    <w:p w14:paraId="0189B3AC" w14:textId="77777777" w:rsidR="003934E1" w:rsidRDefault="00000000">
      <w:pPr>
        <w:widowControl w:val="0"/>
        <w:spacing w:before="30" w:line="343" w:lineRule="auto"/>
        <w:ind w:left="578" w:right="-5" w:hanging="561"/>
        <w:rPr>
          <w:rFonts w:ascii="Times New Roman" w:eastAsia="Times New Roman" w:hAnsi="Times New Roman" w:cs="Times New Roman"/>
        </w:rPr>
      </w:pPr>
      <w:r>
        <w:rPr>
          <w:rFonts w:ascii="Times New Roman" w:eastAsia="Times New Roman" w:hAnsi="Times New Roman" w:cs="Times New Roman"/>
        </w:rPr>
        <w:t xml:space="preserve">Cohn, Bernard S. (1996). </w:t>
      </w:r>
      <w:r>
        <w:rPr>
          <w:rFonts w:ascii="Times New Roman" w:eastAsia="Times New Roman" w:hAnsi="Times New Roman" w:cs="Times New Roman"/>
          <w:i/>
        </w:rPr>
        <w:t>Colonialism and Its Forms of Knowledge: The British in India</w:t>
      </w:r>
      <w:r>
        <w:rPr>
          <w:rFonts w:ascii="Times New Roman" w:eastAsia="Times New Roman" w:hAnsi="Times New Roman" w:cs="Times New Roman"/>
        </w:rPr>
        <w:t xml:space="preserve">.  Princeton: Princeton University Press. </w:t>
      </w:r>
    </w:p>
    <w:p w14:paraId="1ABE90FF" w14:textId="77777777" w:rsidR="003934E1" w:rsidRDefault="00000000">
      <w:pPr>
        <w:widowControl w:val="0"/>
        <w:spacing w:before="31" w:line="343" w:lineRule="auto"/>
        <w:ind w:left="588" w:right="-3" w:hanging="576"/>
        <w:rPr>
          <w:rFonts w:ascii="Times New Roman" w:eastAsia="Times New Roman" w:hAnsi="Times New Roman" w:cs="Times New Roman"/>
        </w:rPr>
      </w:pPr>
      <w:r>
        <w:rPr>
          <w:rFonts w:ascii="Times New Roman" w:eastAsia="Times New Roman" w:hAnsi="Times New Roman" w:cs="Times New Roman"/>
        </w:rPr>
        <w:t xml:space="preserve">Das Gupta, Sanjukta. (2011). </w:t>
      </w:r>
      <w:r>
        <w:rPr>
          <w:rFonts w:ascii="Times New Roman" w:eastAsia="Times New Roman" w:hAnsi="Times New Roman" w:cs="Times New Roman"/>
          <w:i/>
        </w:rPr>
        <w:t xml:space="preserve">Adivasis and the Raj: Socio-Economic Transition of the </w:t>
      </w:r>
      <w:proofErr w:type="spellStart"/>
      <w:r>
        <w:rPr>
          <w:rFonts w:ascii="Times New Roman" w:eastAsia="Times New Roman" w:hAnsi="Times New Roman" w:cs="Times New Roman"/>
          <w:i/>
        </w:rPr>
        <w:t>Hos</w:t>
      </w:r>
      <w:proofErr w:type="spellEnd"/>
      <w:r>
        <w:rPr>
          <w:rFonts w:ascii="Times New Roman" w:eastAsia="Times New Roman" w:hAnsi="Times New Roman" w:cs="Times New Roman"/>
          <w:i/>
        </w:rPr>
        <w:t>,  1830-1932</w:t>
      </w:r>
      <w:r>
        <w:rPr>
          <w:rFonts w:ascii="Times New Roman" w:eastAsia="Times New Roman" w:hAnsi="Times New Roman" w:cs="Times New Roman"/>
        </w:rPr>
        <w:t xml:space="preserve">. New Delhi: Orient </w:t>
      </w:r>
      <w:proofErr w:type="spellStart"/>
      <w:r>
        <w:rPr>
          <w:rFonts w:ascii="Times New Roman" w:eastAsia="Times New Roman" w:hAnsi="Times New Roman" w:cs="Times New Roman"/>
        </w:rPr>
        <w:t>Blackswan</w:t>
      </w:r>
      <w:proofErr w:type="spellEnd"/>
      <w:r>
        <w:rPr>
          <w:rFonts w:ascii="Times New Roman" w:eastAsia="Times New Roman" w:hAnsi="Times New Roman" w:cs="Times New Roman"/>
        </w:rPr>
        <w:t xml:space="preserve">.  </w:t>
      </w:r>
    </w:p>
    <w:p w14:paraId="1BCD535E" w14:textId="77777777" w:rsidR="003934E1" w:rsidRDefault="00000000">
      <w:pPr>
        <w:widowControl w:val="0"/>
        <w:spacing w:before="31" w:line="343" w:lineRule="auto"/>
        <w:ind w:left="581" w:right="-2" w:hanging="569"/>
        <w:rPr>
          <w:rFonts w:ascii="Times New Roman" w:eastAsia="Times New Roman" w:hAnsi="Times New Roman" w:cs="Times New Roman"/>
        </w:rPr>
      </w:pPr>
      <w:r>
        <w:rPr>
          <w:rFonts w:ascii="Times New Roman" w:eastAsia="Times New Roman" w:hAnsi="Times New Roman" w:cs="Times New Roman"/>
        </w:rPr>
        <w:t xml:space="preserve">Das Gupta, Sanjukta. (2020). ‘Colonial Representations of Adivasi Pasts of Jharkhand, India:  The Archives and Beyond’ (pp. 353-362). In Nathalie </w:t>
      </w:r>
      <w:proofErr w:type="spellStart"/>
      <w:r>
        <w:rPr>
          <w:rFonts w:ascii="Times New Roman" w:eastAsia="Times New Roman" w:hAnsi="Times New Roman" w:cs="Times New Roman"/>
        </w:rPr>
        <w:t>Kouamé</w:t>
      </w:r>
      <w:proofErr w:type="spellEnd"/>
      <w:r>
        <w:rPr>
          <w:rFonts w:ascii="Times New Roman" w:eastAsia="Times New Roman" w:hAnsi="Times New Roman" w:cs="Times New Roman"/>
        </w:rPr>
        <w:t xml:space="preserve">, Éric P. Meyer, and Anne </w:t>
      </w:r>
    </w:p>
    <w:p w14:paraId="2F03FC21" w14:textId="77777777" w:rsidR="003934E1" w:rsidRDefault="00000000">
      <w:pPr>
        <w:widowControl w:val="0"/>
        <w:ind w:right="53"/>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21 </w:t>
      </w:r>
    </w:p>
    <w:p w14:paraId="46EC37F2"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6F2B18B7" w14:textId="77777777" w:rsidR="003934E1" w:rsidRDefault="00000000">
      <w:pPr>
        <w:widowControl w:val="0"/>
        <w:spacing w:before="579" w:line="343" w:lineRule="auto"/>
        <w:ind w:left="578" w:right="-5" w:hanging="1"/>
        <w:rPr>
          <w:rFonts w:ascii="Times New Roman" w:eastAsia="Times New Roman" w:hAnsi="Times New Roman" w:cs="Times New Roman"/>
        </w:rPr>
      </w:pPr>
      <w:r>
        <w:rPr>
          <w:rFonts w:ascii="Times New Roman" w:eastAsia="Times New Roman" w:hAnsi="Times New Roman" w:cs="Times New Roman"/>
        </w:rPr>
        <w:lastRenderedPageBreak/>
        <w:t xml:space="preserve">Viguier et. al. </w:t>
      </w:r>
      <w:r>
        <w:rPr>
          <w:rFonts w:ascii="Times New Roman" w:eastAsia="Times New Roman" w:hAnsi="Times New Roman" w:cs="Times New Roman"/>
          <w:i/>
        </w:rPr>
        <w:t xml:space="preserve">Encyclopédie Des Historiographies: </w:t>
      </w:r>
      <w:proofErr w:type="spellStart"/>
      <w:r>
        <w:rPr>
          <w:rFonts w:ascii="Times New Roman" w:eastAsia="Times New Roman" w:hAnsi="Times New Roman" w:cs="Times New Roman"/>
          <w:i/>
        </w:rPr>
        <w:t>Afriques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Amériques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Asies</w:t>
      </w:r>
      <w:proofErr w:type="spellEnd"/>
      <w:r>
        <w:rPr>
          <w:rFonts w:ascii="Times New Roman" w:eastAsia="Times New Roman" w:hAnsi="Times New Roman" w:cs="Times New Roman"/>
        </w:rPr>
        <w:t xml:space="preserve">. Paris:  Presses de </w:t>
      </w:r>
      <w:proofErr w:type="spellStart"/>
      <w:r>
        <w:rPr>
          <w:rFonts w:ascii="Times New Roman" w:eastAsia="Times New Roman" w:hAnsi="Times New Roman" w:cs="Times New Roman"/>
        </w:rPr>
        <w:t>l’Inalco</w:t>
      </w:r>
      <w:proofErr w:type="spellEnd"/>
      <w:r>
        <w:rPr>
          <w:rFonts w:ascii="Times New Roman" w:eastAsia="Times New Roman" w:hAnsi="Times New Roman" w:cs="Times New Roman"/>
        </w:rPr>
        <w:t xml:space="preserve">. </w:t>
      </w:r>
      <w:r>
        <w:rPr>
          <w:rFonts w:ascii="Times New Roman" w:eastAsia="Times New Roman" w:hAnsi="Times New Roman" w:cs="Times New Roman"/>
          <w:color w:val="0563C1"/>
          <w:u w:val="single"/>
        </w:rPr>
        <w:t>https://doi.org/10.4000/books.pressesinalco.23721</w:t>
      </w:r>
      <w:r>
        <w:rPr>
          <w:rFonts w:ascii="Times New Roman" w:eastAsia="Times New Roman" w:hAnsi="Times New Roman" w:cs="Times New Roman"/>
        </w:rPr>
        <w:t xml:space="preserve">. </w:t>
      </w:r>
    </w:p>
    <w:p w14:paraId="636005E3" w14:textId="77777777" w:rsidR="003934E1" w:rsidRDefault="00000000">
      <w:pPr>
        <w:widowControl w:val="0"/>
        <w:spacing w:before="31" w:line="344" w:lineRule="auto"/>
        <w:ind w:left="575" w:hanging="563"/>
        <w:rPr>
          <w:rFonts w:ascii="Times New Roman" w:eastAsia="Times New Roman" w:hAnsi="Times New Roman" w:cs="Times New Roman"/>
        </w:rPr>
      </w:pPr>
      <w:r>
        <w:rPr>
          <w:rFonts w:ascii="Times New Roman" w:eastAsia="Times New Roman" w:hAnsi="Times New Roman" w:cs="Times New Roman"/>
        </w:rPr>
        <w:t xml:space="preserve">Dasgupta, Sangeeta. 2018. ‘Adivasi Studies: From a Historian’s Perspective.’ </w:t>
      </w:r>
      <w:r>
        <w:rPr>
          <w:rFonts w:ascii="Times New Roman" w:eastAsia="Times New Roman" w:hAnsi="Times New Roman" w:cs="Times New Roman"/>
          <w:i/>
        </w:rPr>
        <w:t xml:space="preserve">History Compass </w:t>
      </w:r>
      <w:r>
        <w:rPr>
          <w:rFonts w:ascii="Times New Roman" w:eastAsia="Times New Roman" w:hAnsi="Times New Roman" w:cs="Times New Roman"/>
        </w:rPr>
        <w:t xml:space="preserve">16 (1), 1-11. e12486. Wiley Online Library. © 2018 John Wiley &amp; Sons Ltd.  </w:t>
      </w:r>
      <w:r>
        <w:rPr>
          <w:rFonts w:ascii="Times New Roman" w:eastAsia="Times New Roman" w:hAnsi="Times New Roman" w:cs="Times New Roman"/>
          <w:color w:val="0563C1"/>
          <w:u w:val="single"/>
        </w:rPr>
        <w:t>https://doi.org/10.1111/hic3.12486</w:t>
      </w:r>
      <w:r>
        <w:rPr>
          <w:rFonts w:ascii="Times New Roman" w:eastAsia="Times New Roman" w:hAnsi="Times New Roman" w:cs="Times New Roman"/>
        </w:rPr>
        <w:t xml:space="preserve">. </w:t>
      </w:r>
    </w:p>
    <w:p w14:paraId="75CEB465" w14:textId="77777777" w:rsidR="003934E1" w:rsidRDefault="00000000">
      <w:pPr>
        <w:widowControl w:val="0"/>
        <w:spacing w:before="27" w:line="345" w:lineRule="auto"/>
        <w:ind w:left="568" w:hanging="553"/>
        <w:rPr>
          <w:rFonts w:ascii="Times New Roman" w:eastAsia="Times New Roman" w:hAnsi="Times New Roman" w:cs="Times New Roman"/>
        </w:rPr>
      </w:pPr>
      <w:r>
        <w:rPr>
          <w:rFonts w:ascii="Times New Roman" w:eastAsia="Times New Roman" w:hAnsi="Times New Roman" w:cs="Times New Roman"/>
        </w:rPr>
        <w:t xml:space="preserve">de Sousa Santos, B. (2018). </w:t>
      </w:r>
      <w:r>
        <w:rPr>
          <w:rFonts w:ascii="Times New Roman" w:eastAsia="Times New Roman" w:hAnsi="Times New Roman" w:cs="Times New Roman"/>
          <w:i/>
        </w:rPr>
        <w:t>The End of the Cognitive Empire the Coming of Age of  Epistemologies of the South</w:t>
      </w:r>
      <w:r>
        <w:rPr>
          <w:rFonts w:ascii="Times New Roman" w:eastAsia="Times New Roman" w:hAnsi="Times New Roman" w:cs="Times New Roman"/>
        </w:rPr>
        <w:t xml:space="preserve">. Duke University Press, London.  </w:t>
      </w:r>
    </w:p>
    <w:p w14:paraId="15EB8C37" w14:textId="77777777" w:rsidR="003934E1" w:rsidRDefault="00000000">
      <w:pPr>
        <w:widowControl w:val="0"/>
        <w:spacing w:before="26" w:line="345" w:lineRule="auto"/>
        <w:ind w:left="11" w:right="-4" w:firstLine="3"/>
        <w:rPr>
          <w:rFonts w:ascii="Times New Roman" w:eastAsia="Times New Roman" w:hAnsi="Times New Roman" w:cs="Times New Roman"/>
        </w:rPr>
      </w:pPr>
      <w:r>
        <w:rPr>
          <w:rFonts w:ascii="Times New Roman" w:eastAsia="Times New Roman" w:hAnsi="Times New Roman" w:cs="Times New Roman"/>
        </w:rPr>
        <w:t xml:space="preserve">de Sa, Fidelis. (1975). </w:t>
      </w:r>
      <w:r>
        <w:rPr>
          <w:rFonts w:ascii="Times New Roman" w:eastAsia="Times New Roman" w:hAnsi="Times New Roman" w:cs="Times New Roman"/>
          <w:i/>
        </w:rPr>
        <w:t>Crisis in Chota Nagpur</w:t>
      </w:r>
      <w:r>
        <w:rPr>
          <w:rFonts w:ascii="Times New Roman" w:eastAsia="Times New Roman" w:hAnsi="Times New Roman" w:cs="Times New Roman"/>
        </w:rPr>
        <w:t xml:space="preserve">. Bangalore: Redemptorist Publications Devalle, S. (1992). </w:t>
      </w:r>
      <w:r>
        <w:rPr>
          <w:rFonts w:ascii="Times New Roman" w:eastAsia="Times New Roman" w:hAnsi="Times New Roman" w:cs="Times New Roman"/>
          <w:i/>
        </w:rPr>
        <w:t>Discourses of ethnicity: Culture and protest in Jharkhand</w:t>
      </w:r>
      <w:r>
        <w:rPr>
          <w:rFonts w:ascii="Times New Roman" w:eastAsia="Times New Roman" w:hAnsi="Times New Roman" w:cs="Times New Roman"/>
        </w:rPr>
        <w:t xml:space="preserve">. New Delhi: Sage  Publications. </w:t>
      </w:r>
    </w:p>
    <w:p w14:paraId="086EE7AF" w14:textId="77777777" w:rsidR="003934E1" w:rsidRDefault="00000000">
      <w:pPr>
        <w:widowControl w:val="0"/>
        <w:spacing w:before="30" w:line="343" w:lineRule="auto"/>
        <w:ind w:left="566" w:right="-1" w:hanging="555"/>
        <w:rPr>
          <w:rFonts w:ascii="Times New Roman" w:eastAsia="Times New Roman" w:hAnsi="Times New Roman" w:cs="Times New Roman"/>
        </w:rPr>
      </w:pPr>
      <w:r>
        <w:rPr>
          <w:rFonts w:ascii="Times New Roman" w:eastAsia="Times New Roman" w:hAnsi="Times New Roman" w:cs="Times New Roman"/>
        </w:rPr>
        <w:t xml:space="preserve">Dirks, Nicholas B. (2001). </w:t>
      </w:r>
      <w:r>
        <w:rPr>
          <w:rFonts w:ascii="Times New Roman" w:eastAsia="Times New Roman" w:hAnsi="Times New Roman" w:cs="Times New Roman"/>
          <w:i/>
        </w:rPr>
        <w:t>Castes of Mind: Colonialism and the Making of Modern  India</w:t>
      </w:r>
      <w:r>
        <w:rPr>
          <w:rFonts w:ascii="Times New Roman" w:eastAsia="Times New Roman" w:hAnsi="Times New Roman" w:cs="Times New Roman"/>
        </w:rPr>
        <w:t xml:space="preserve">. United Kingdom: Princeton University Press. </w:t>
      </w:r>
    </w:p>
    <w:p w14:paraId="21BAE5EA" w14:textId="77777777" w:rsidR="003934E1" w:rsidRDefault="00000000">
      <w:pPr>
        <w:widowControl w:val="0"/>
        <w:spacing w:before="31" w:line="344" w:lineRule="auto"/>
        <w:ind w:left="575" w:right="-5" w:hanging="563"/>
        <w:jc w:val="both"/>
        <w:rPr>
          <w:rFonts w:ascii="Times New Roman" w:eastAsia="Times New Roman" w:hAnsi="Times New Roman" w:cs="Times New Roman"/>
        </w:rPr>
      </w:pPr>
      <w:proofErr w:type="spellStart"/>
      <w:r>
        <w:rPr>
          <w:rFonts w:ascii="Times New Roman" w:eastAsia="Times New Roman" w:hAnsi="Times New Roman" w:cs="Times New Roman"/>
        </w:rPr>
        <w:t>Dulhunty</w:t>
      </w:r>
      <w:proofErr w:type="spellEnd"/>
      <w:r>
        <w:rPr>
          <w:rFonts w:ascii="Times New Roman" w:eastAsia="Times New Roman" w:hAnsi="Times New Roman" w:cs="Times New Roman"/>
        </w:rPr>
        <w:t xml:space="preserve">, Annabel. (2023). ‘When extractive and racial capitalism combine - Indigenous and  caste based struggles with land, labour and law in India.’ </w:t>
      </w:r>
      <w:proofErr w:type="spellStart"/>
      <w:r>
        <w:rPr>
          <w:rFonts w:ascii="Times New Roman" w:eastAsia="Times New Roman" w:hAnsi="Times New Roman" w:cs="Times New Roman"/>
          <w:i/>
        </w:rPr>
        <w:t>Geoforum</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147: 103887.  </w:t>
      </w:r>
      <w:r>
        <w:rPr>
          <w:rFonts w:ascii="Times New Roman" w:eastAsia="Times New Roman" w:hAnsi="Times New Roman" w:cs="Times New Roman"/>
          <w:color w:val="0563C1"/>
          <w:u w:val="single"/>
        </w:rPr>
        <w:t>https://doi.org/10.1016/j.geoforum.2023.103887</w:t>
      </w:r>
      <w:r>
        <w:rPr>
          <w:rFonts w:ascii="Times New Roman" w:eastAsia="Times New Roman" w:hAnsi="Times New Roman" w:cs="Times New Roman"/>
        </w:rPr>
        <w:t xml:space="preserve">. </w:t>
      </w:r>
    </w:p>
    <w:p w14:paraId="1A130479" w14:textId="77777777" w:rsidR="003934E1" w:rsidRDefault="00000000">
      <w:pPr>
        <w:widowControl w:val="0"/>
        <w:spacing w:before="28" w:line="344" w:lineRule="auto"/>
        <w:ind w:left="11" w:right="-3" w:firstLine="1"/>
        <w:rPr>
          <w:rFonts w:ascii="Times New Roman" w:eastAsia="Times New Roman" w:hAnsi="Times New Roman" w:cs="Times New Roman"/>
        </w:rPr>
      </w:pPr>
      <w:r>
        <w:rPr>
          <w:rFonts w:ascii="Times New Roman" w:eastAsia="Times New Roman" w:hAnsi="Times New Roman" w:cs="Times New Roman"/>
        </w:rPr>
        <w:t xml:space="preserve">Elwin, Verrier. (1943). </w:t>
      </w:r>
      <w:r>
        <w:rPr>
          <w:rFonts w:ascii="Times New Roman" w:eastAsia="Times New Roman" w:hAnsi="Times New Roman" w:cs="Times New Roman"/>
          <w:i/>
        </w:rPr>
        <w:t>The Aboriginals</w:t>
      </w:r>
      <w:r>
        <w:rPr>
          <w:rFonts w:ascii="Times New Roman" w:eastAsia="Times New Roman" w:hAnsi="Times New Roman" w:cs="Times New Roman"/>
        </w:rPr>
        <w:t xml:space="preserve">. Oxford: Oxford University Press. Fagan, Brian M. (1998). </w:t>
      </w:r>
      <w:r>
        <w:rPr>
          <w:rFonts w:ascii="Times New Roman" w:eastAsia="Times New Roman" w:hAnsi="Times New Roman" w:cs="Times New Roman"/>
          <w:i/>
        </w:rPr>
        <w:t>Clash of Cultures</w:t>
      </w:r>
      <w:r>
        <w:rPr>
          <w:rFonts w:ascii="Times New Roman" w:eastAsia="Times New Roman" w:hAnsi="Times New Roman" w:cs="Times New Roman"/>
        </w:rPr>
        <w:t xml:space="preserve">. Bloomsbury: Globe Pequot Publishing Group  Incorporated. </w:t>
      </w:r>
    </w:p>
    <w:p w14:paraId="669F4DDA" w14:textId="77777777" w:rsidR="003934E1" w:rsidRDefault="00000000">
      <w:pPr>
        <w:widowControl w:val="0"/>
        <w:spacing w:before="30" w:line="344" w:lineRule="auto"/>
        <w:ind w:left="11" w:right="-2"/>
        <w:rPr>
          <w:rFonts w:ascii="Times New Roman" w:eastAsia="Times New Roman" w:hAnsi="Times New Roman" w:cs="Times New Roman"/>
        </w:rPr>
      </w:pPr>
      <w:r>
        <w:rPr>
          <w:rFonts w:ascii="Times New Roman" w:eastAsia="Times New Roman" w:hAnsi="Times New Roman" w:cs="Times New Roman"/>
        </w:rPr>
        <w:t xml:space="preserve">Fanon, Frantz. (1963). </w:t>
      </w:r>
      <w:r>
        <w:rPr>
          <w:rFonts w:ascii="Times New Roman" w:eastAsia="Times New Roman" w:hAnsi="Times New Roman" w:cs="Times New Roman"/>
          <w:i/>
        </w:rPr>
        <w:t>The wretched of the earth</w:t>
      </w:r>
      <w:r>
        <w:rPr>
          <w:rFonts w:ascii="Times New Roman" w:eastAsia="Times New Roman" w:hAnsi="Times New Roman" w:cs="Times New Roman"/>
        </w:rPr>
        <w:t xml:space="preserve">. Portugal: Grove Press. Fischer, David Hackett. (1970). </w:t>
      </w:r>
      <w:r>
        <w:rPr>
          <w:rFonts w:ascii="Times New Roman" w:eastAsia="Times New Roman" w:hAnsi="Times New Roman" w:cs="Times New Roman"/>
          <w:i/>
        </w:rPr>
        <w:t xml:space="preserve">Historians’ Fallacies: Toward a Logic of Historical  Thought. </w:t>
      </w:r>
      <w:r>
        <w:rPr>
          <w:rFonts w:ascii="Times New Roman" w:eastAsia="Times New Roman" w:hAnsi="Times New Roman" w:cs="Times New Roman"/>
        </w:rPr>
        <w:t xml:space="preserve">United Kingdom: Harper &amp; Row. </w:t>
      </w:r>
    </w:p>
    <w:p w14:paraId="087A915F" w14:textId="77777777" w:rsidR="003934E1" w:rsidRDefault="00000000">
      <w:pPr>
        <w:widowControl w:val="0"/>
        <w:spacing w:before="27" w:line="345" w:lineRule="auto"/>
        <w:ind w:left="578" w:right="-2" w:hanging="567"/>
        <w:rPr>
          <w:rFonts w:ascii="Times New Roman" w:eastAsia="Times New Roman" w:hAnsi="Times New Roman" w:cs="Times New Roman"/>
        </w:rPr>
      </w:pPr>
      <w:proofErr w:type="spellStart"/>
      <w:r>
        <w:rPr>
          <w:rFonts w:ascii="Times New Roman" w:eastAsia="Times New Roman" w:hAnsi="Times New Roman" w:cs="Times New Roman"/>
        </w:rPr>
        <w:t>Fürer-Haimendorf</w:t>
      </w:r>
      <w:proofErr w:type="spellEnd"/>
      <w:r>
        <w:rPr>
          <w:rFonts w:ascii="Times New Roman" w:eastAsia="Times New Roman" w:hAnsi="Times New Roman" w:cs="Times New Roman"/>
        </w:rPr>
        <w:t xml:space="preserve">, Christoph von. (1939). </w:t>
      </w:r>
      <w:r>
        <w:rPr>
          <w:rFonts w:ascii="Times New Roman" w:eastAsia="Times New Roman" w:hAnsi="Times New Roman" w:cs="Times New Roman"/>
          <w:i/>
        </w:rPr>
        <w:t>The Naked Nagas</w:t>
      </w:r>
      <w:r>
        <w:rPr>
          <w:rFonts w:ascii="Times New Roman" w:eastAsia="Times New Roman" w:hAnsi="Times New Roman" w:cs="Times New Roman"/>
        </w:rPr>
        <w:t xml:space="preserve">. India: Methuen &amp; Company,  Limited. </w:t>
      </w:r>
    </w:p>
    <w:p w14:paraId="61278F93" w14:textId="77777777" w:rsidR="003934E1" w:rsidRDefault="00000000">
      <w:pPr>
        <w:widowControl w:val="0"/>
        <w:spacing w:before="27" w:line="345" w:lineRule="auto"/>
        <w:ind w:left="575" w:right="-4" w:hanging="563"/>
        <w:rPr>
          <w:rFonts w:ascii="Times New Roman" w:eastAsia="Times New Roman" w:hAnsi="Times New Roman" w:cs="Times New Roman"/>
        </w:rPr>
      </w:pPr>
      <w:proofErr w:type="spellStart"/>
      <w:r>
        <w:rPr>
          <w:rFonts w:ascii="Times New Roman" w:eastAsia="Times New Roman" w:hAnsi="Times New Roman" w:cs="Times New Roman"/>
        </w:rPr>
        <w:t>Fürer-Haimendorf</w:t>
      </w:r>
      <w:proofErr w:type="spellEnd"/>
      <w:r>
        <w:rPr>
          <w:rFonts w:ascii="Times New Roman" w:eastAsia="Times New Roman" w:hAnsi="Times New Roman" w:cs="Times New Roman"/>
        </w:rPr>
        <w:t xml:space="preserve">, Christoph von. (1982). </w:t>
      </w:r>
      <w:r>
        <w:rPr>
          <w:rFonts w:ascii="Times New Roman" w:eastAsia="Times New Roman" w:hAnsi="Times New Roman" w:cs="Times New Roman"/>
          <w:i/>
        </w:rPr>
        <w:t>Tribes of India: the struggle for survival</w:t>
      </w:r>
      <w:r>
        <w:rPr>
          <w:rFonts w:ascii="Times New Roman" w:eastAsia="Times New Roman" w:hAnsi="Times New Roman" w:cs="Times New Roman"/>
        </w:rPr>
        <w:t xml:space="preserve">. Berkeley:  University of California Press. </w:t>
      </w:r>
    </w:p>
    <w:p w14:paraId="45BBDEBB" w14:textId="77777777" w:rsidR="003934E1" w:rsidRDefault="00000000">
      <w:pPr>
        <w:widowControl w:val="0"/>
        <w:spacing w:before="26" w:line="345" w:lineRule="auto"/>
        <w:ind w:left="582" w:right="-5" w:hanging="566"/>
        <w:rPr>
          <w:rFonts w:ascii="Times New Roman" w:eastAsia="Times New Roman" w:hAnsi="Times New Roman" w:cs="Times New Roman"/>
        </w:rPr>
      </w:pPr>
      <w:proofErr w:type="spellStart"/>
      <w:r>
        <w:rPr>
          <w:rFonts w:ascii="Times New Roman" w:eastAsia="Times New Roman" w:hAnsi="Times New Roman" w:cs="Times New Roman"/>
        </w:rPr>
        <w:t>Ghurye</w:t>
      </w:r>
      <w:proofErr w:type="spellEnd"/>
      <w:r>
        <w:rPr>
          <w:rFonts w:ascii="Times New Roman" w:eastAsia="Times New Roman" w:hAnsi="Times New Roman" w:cs="Times New Roman"/>
        </w:rPr>
        <w:t xml:space="preserve">, Govind Sadashiv. (1943). </w:t>
      </w:r>
      <w:r>
        <w:rPr>
          <w:rFonts w:ascii="Times New Roman" w:eastAsia="Times New Roman" w:hAnsi="Times New Roman" w:cs="Times New Roman"/>
          <w:i/>
        </w:rPr>
        <w:t>The Aborigines - “so-called”- and Their Future</w:t>
      </w:r>
      <w:r>
        <w:rPr>
          <w:rFonts w:ascii="Times New Roman" w:eastAsia="Times New Roman" w:hAnsi="Times New Roman" w:cs="Times New Roman"/>
        </w:rPr>
        <w:t xml:space="preserve">. Poona:  Gokhale Institute of Politics and Economics, Publication no. 11.  </w:t>
      </w:r>
    </w:p>
    <w:p w14:paraId="535C8E17" w14:textId="77777777" w:rsidR="003934E1" w:rsidRDefault="00000000">
      <w:pPr>
        <w:widowControl w:val="0"/>
        <w:spacing w:before="26" w:line="345" w:lineRule="auto"/>
        <w:ind w:left="582" w:right="-5" w:hanging="566"/>
        <w:rPr>
          <w:rFonts w:ascii="Times New Roman" w:eastAsia="Times New Roman" w:hAnsi="Times New Roman" w:cs="Times New Roman"/>
        </w:rPr>
      </w:pPr>
      <w:r>
        <w:rPr>
          <w:rFonts w:ascii="Times New Roman" w:eastAsia="Times New Roman" w:hAnsi="Times New Roman" w:cs="Times New Roman"/>
        </w:rPr>
        <w:t xml:space="preserve">Guha, Ranajit. (1983). </w:t>
      </w:r>
      <w:r>
        <w:rPr>
          <w:rFonts w:ascii="Times New Roman" w:eastAsia="Times New Roman" w:hAnsi="Times New Roman" w:cs="Times New Roman"/>
          <w:i/>
        </w:rPr>
        <w:t>Elementary Aspects of Peasant Insurgency in Colonial India</w:t>
      </w:r>
      <w:r>
        <w:rPr>
          <w:rFonts w:ascii="Times New Roman" w:eastAsia="Times New Roman" w:hAnsi="Times New Roman" w:cs="Times New Roman"/>
        </w:rPr>
        <w:t xml:space="preserve">. India:  Oxford. </w:t>
      </w:r>
    </w:p>
    <w:p w14:paraId="20C3E040" w14:textId="77777777" w:rsidR="003934E1" w:rsidRDefault="00000000">
      <w:pPr>
        <w:widowControl w:val="0"/>
        <w:spacing w:before="26" w:line="345" w:lineRule="auto"/>
        <w:ind w:left="578" w:right="-5" w:hanging="566"/>
        <w:jc w:val="both"/>
        <w:rPr>
          <w:rFonts w:ascii="Times New Roman" w:eastAsia="Times New Roman" w:hAnsi="Times New Roman" w:cs="Times New Roman"/>
        </w:rPr>
      </w:pPr>
      <w:r>
        <w:rPr>
          <w:rFonts w:ascii="Times New Roman" w:eastAsia="Times New Roman" w:hAnsi="Times New Roman" w:cs="Times New Roman"/>
        </w:rPr>
        <w:t xml:space="preserve">Hembrom, Ruby. (2022). ‘Cohabiting a Textualized World: Elbow Room and Adivasi  Resurgence.’ </w:t>
      </w:r>
      <w:r>
        <w:rPr>
          <w:rFonts w:ascii="Times New Roman" w:eastAsia="Times New Roman" w:hAnsi="Times New Roman" w:cs="Times New Roman"/>
          <w:i/>
        </w:rPr>
        <w:t xml:space="preserve">Modern Asian Studies </w:t>
      </w:r>
      <w:r>
        <w:rPr>
          <w:rFonts w:ascii="Times New Roman" w:eastAsia="Times New Roman" w:hAnsi="Times New Roman" w:cs="Times New Roman"/>
        </w:rPr>
        <w:t xml:space="preserve">56. Special Issue 5: </w:t>
      </w:r>
      <w:r>
        <w:rPr>
          <w:rFonts w:ascii="Times New Roman" w:eastAsia="Times New Roman" w:hAnsi="Times New Roman" w:cs="Times New Roman"/>
          <w:i/>
        </w:rPr>
        <w:t>Multiple Worlds of the Adivasi</w:t>
      </w:r>
      <w:r>
        <w:rPr>
          <w:rFonts w:ascii="Times New Roman" w:eastAsia="Times New Roman" w:hAnsi="Times New Roman" w:cs="Times New Roman"/>
        </w:rPr>
        <w:t xml:space="preserve">.  (September), 1464-1488. </w:t>
      </w:r>
      <w:r>
        <w:rPr>
          <w:rFonts w:ascii="Times New Roman" w:eastAsia="Times New Roman" w:hAnsi="Times New Roman" w:cs="Times New Roman"/>
          <w:color w:val="0563C1"/>
          <w:u w:val="single"/>
        </w:rPr>
        <w:t>https://doi.org/10.1017/S0026749X22000117</w:t>
      </w:r>
      <w:r>
        <w:rPr>
          <w:rFonts w:ascii="Times New Roman" w:eastAsia="Times New Roman" w:hAnsi="Times New Roman" w:cs="Times New Roman"/>
        </w:rPr>
        <w:t xml:space="preserve">. </w:t>
      </w:r>
    </w:p>
    <w:p w14:paraId="157EAD34" w14:textId="77777777" w:rsidR="003934E1" w:rsidRDefault="00000000">
      <w:pPr>
        <w:widowControl w:val="0"/>
        <w:spacing w:before="30" w:line="343" w:lineRule="auto"/>
        <w:ind w:left="577" w:right="-5" w:hanging="564"/>
        <w:rPr>
          <w:rFonts w:ascii="Times New Roman" w:eastAsia="Times New Roman" w:hAnsi="Times New Roman" w:cs="Times New Roman"/>
        </w:rPr>
      </w:pPr>
      <w:proofErr w:type="spellStart"/>
      <w:r>
        <w:rPr>
          <w:rFonts w:ascii="Times New Roman" w:eastAsia="Times New Roman" w:hAnsi="Times New Roman" w:cs="Times New Roman"/>
        </w:rPr>
        <w:t>Inden</w:t>
      </w:r>
      <w:proofErr w:type="spellEnd"/>
      <w:r>
        <w:rPr>
          <w:rFonts w:ascii="Times New Roman" w:eastAsia="Times New Roman" w:hAnsi="Times New Roman" w:cs="Times New Roman"/>
        </w:rPr>
        <w:t xml:space="preserve">, Ronald B. (1986). ‘Orientalist Constructions of India.’ </w:t>
      </w:r>
      <w:r>
        <w:rPr>
          <w:rFonts w:ascii="Times New Roman" w:eastAsia="Times New Roman" w:hAnsi="Times New Roman" w:cs="Times New Roman"/>
          <w:i/>
        </w:rPr>
        <w:t xml:space="preserve">Modern Asian Studies </w:t>
      </w:r>
      <w:r>
        <w:rPr>
          <w:rFonts w:ascii="Times New Roman" w:eastAsia="Times New Roman" w:hAnsi="Times New Roman" w:cs="Times New Roman"/>
        </w:rPr>
        <w:t xml:space="preserve">20, no. 3,  401-446. </w:t>
      </w:r>
      <w:r>
        <w:rPr>
          <w:rFonts w:ascii="Times New Roman" w:eastAsia="Times New Roman" w:hAnsi="Times New Roman" w:cs="Times New Roman"/>
          <w:color w:val="0563C1"/>
          <w:u w:val="single"/>
        </w:rPr>
        <w:t>https://doi.org/10.1017/S0026749X00007800</w:t>
      </w:r>
      <w:r>
        <w:rPr>
          <w:rFonts w:ascii="Times New Roman" w:eastAsia="Times New Roman" w:hAnsi="Times New Roman" w:cs="Times New Roman"/>
        </w:rPr>
        <w:t>.</w:t>
      </w:r>
    </w:p>
    <w:p w14:paraId="37C74EFA" w14:textId="77777777" w:rsidR="003934E1" w:rsidRDefault="00000000">
      <w:pPr>
        <w:widowControl w:val="0"/>
        <w:ind w:right="53"/>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22 </w:t>
      </w:r>
    </w:p>
    <w:p w14:paraId="742D914D"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132C37ED" w14:textId="77777777" w:rsidR="003934E1" w:rsidRDefault="00000000">
      <w:pPr>
        <w:widowControl w:val="0"/>
        <w:spacing w:before="579"/>
        <w:ind w:left="13"/>
        <w:rPr>
          <w:rFonts w:ascii="Times New Roman" w:eastAsia="Times New Roman" w:hAnsi="Times New Roman" w:cs="Times New Roman"/>
        </w:rPr>
      </w:pPr>
      <w:proofErr w:type="spellStart"/>
      <w:r>
        <w:rPr>
          <w:rFonts w:ascii="Times New Roman" w:eastAsia="Times New Roman" w:hAnsi="Times New Roman" w:cs="Times New Roman"/>
        </w:rPr>
        <w:lastRenderedPageBreak/>
        <w:t>Inden</w:t>
      </w:r>
      <w:proofErr w:type="spellEnd"/>
      <w:r>
        <w:rPr>
          <w:rFonts w:ascii="Times New Roman" w:eastAsia="Times New Roman" w:hAnsi="Times New Roman" w:cs="Times New Roman"/>
        </w:rPr>
        <w:t xml:space="preserve">, Ronald B. (1990). </w:t>
      </w:r>
      <w:r>
        <w:rPr>
          <w:rFonts w:ascii="Times New Roman" w:eastAsia="Times New Roman" w:hAnsi="Times New Roman" w:cs="Times New Roman"/>
          <w:i/>
        </w:rPr>
        <w:t>Imagining India</w:t>
      </w:r>
      <w:r>
        <w:rPr>
          <w:rFonts w:ascii="Times New Roman" w:eastAsia="Times New Roman" w:hAnsi="Times New Roman" w:cs="Times New Roman"/>
        </w:rPr>
        <w:t xml:space="preserve">. Oxford: Blackwell. </w:t>
      </w:r>
    </w:p>
    <w:p w14:paraId="226A49CE" w14:textId="77777777" w:rsidR="003934E1" w:rsidRDefault="00000000">
      <w:pPr>
        <w:widowControl w:val="0"/>
        <w:spacing w:before="132" w:line="345" w:lineRule="auto"/>
        <w:ind w:left="578" w:right="-5" w:hanging="564"/>
        <w:rPr>
          <w:rFonts w:ascii="Times New Roman" w:eastAsia="Times New Roman" w:hAnsi="Times New Roman" w:cs="Times New Roman"/>
        </w:rPr>
      </w:pPr>
      <w:proofErr w:type="spellStart"/>
      <w:r>
        <w:rPr>
          <w:rFonts w:ascii="Times New Roman" w:eastAsia="Times New Roman" w:hAnsi="Times New Roman" w:cs="Times New Roman"/>
        </w:rPr>
        <w:t>Irshchick</w:t>
      </w:r>
      <w:proofErr w:type="spellEnd"/>
      <w:r>
        <w:rPr>
          <w:rFonts w:ascii="Times New Roman" w:eastAsia="Times New Roman" w:hAnsi="Times New Roman" w:cs="Times New Roman"/>
        </w:rPr>
        <w:t xml:space="preserve">, Eugene F. (1994). </w:t>
      </w:r>
      <w:r>
        <w:rPr>
          <w:rFonts w:ascii="Times New Roman" w:eastAsia="Times New Roman" w:hAnsi="Times New Roman" w:cs="Times New Roman"/>
          <w:i/>
        </w:rPr>
        <w:t>Dialogue and History: Constructing South India, 1795-1895</w:t>
      </w:r>
      <w:r>
        <w:rPr>
          <w:rFonts w:ascii="Times New Roman" w:eastAsia="Times New Roman" w:hAnsi="Times New Roman" w:cs="Times New Roman"/>
        </w:rPr>
        <w:t xml:space="preserve">.  Berkeley: University of California Press.  </w:t>
      </w:r>
    </w:p>
    <w:p w14:paraId="629E1AFB" w14:textId="77777777" w:rsidR="003934E1" w:rsidRDefault="00000000">
      <w:pPr>
        <w:widowControl w:val="0"/>
        <w:spacing w:before="26" w:line="345" w:lineRule="auto"/>
        <w:ind w:left="578" w:right="-2" w:hanging="565"/>
        <w:rPr>
          <w:rFonts w:ascii="Times New Roman" w:eastAsia="Times New Roman" w:hAnsi="Times New Roman" w:cs="Times New Roman"/>
        </w:rPr>
      </w:pPr>
      <w:r>
        <w:rPr>
          <w:rFonts w:ascii="Times New Roman" w:eastAsia="Times New Roman" w:hAnsi="Times New Roman" w:cs="Times New Roman"/>
        </w:rPr>
        <w:t xml:space="preserve">Jha, J. C. (1987). </w:t>
      </w:r>
      <w:r>
        <w:rPr>
          <w:rFonts w:ascii="Times New Roman" w:eastAsia="Times New Roman" w:hAnsi="Times New Roman" w:cs="Times New Roman"/>
          <w:i/>
        </w:rPr>
        <w:t xml:space="preserve">The Tribal Revolt of </w:t>
      </w:r>
      <w:proofErr w:type="spellStart"/>
      <w:r>
        <w:rPr>
          <w:rFonts w:ascii="Times New Roman" w:eastAsia="Times New Roman" w:hAnsi="Times New Roman" w:cs="Times New Roman"/>
          <w:i/>
        </w:rPr>
        <w:t>Chotanagpur</w:t>
      </w:r>
      <w:proofErr w:type="spellEnd"/>
      <w:r>
        <w:rPr>
          <w:rFonts w:ascii="Times New Roman" w:eastAsia="Times New Roman" w:hAnsi="Times New Roman" w:cs="Times New Roman"/>
          <w:i/>
        </w:rPr>
        <w:t xml:space="preserve"> 1831-32</w:t>
      </w:r>
      <w:r>
        <w:rPr>
          <w:rFonts w:ascii="Times New Roman" w:eastAsia="Times New Roman" w:hAnsi="Times New Roman" w:cs="Times New Roman"/>
        </w:rPr>
        <w:t xml:space="preserve">. Patna: Kashi Prasad Jayaswal  Research Institute.  </w:t>
      </w:r>
    </w:p>
    <w:p w14:paraId="667E0365" w14:textId="77777777" w:rsidR="003934E1" w:rsidRDefault="00000000">
      <w:pPr>
        <w:widowControl w:val="0"/>
        <w:spacing w:before="26" w:line="345" w:lineRule="auto"/>
        <w:ind w:left="588" w:hanging="576"/>
        <w:rPr>
          <w:rFonts w:ascii="Times New Roman" w:eastAsia="Times New Roman" w:hAnsi="Times New Roman" w:cs="Times New Roman"/>
        </w:rPr>
      </w:pPr>
      <w:r>
        <w:rPr>
          <w:rFonts w:ascii="Times New Roman" w:eastAsia="Times New Roman" w:hAnsi="Times New Roman" w:cs="Times New Roman"/>
        </w:rPr>
        <w:t xml:space="preserve">Macdougall, John. (1985). </w:t>
      </w:r>
      <w:r>
        <w:rPr>
          <w:rFonts w:ascii="Times New Roman" w:eastAsia="Times New Roman" w:hAnsi="Times New Roman" w:cs="Times New Roman"/>
          <w:i/>
        </w:rPr>
        <w:t xml:space="preserve">Land or Religion? The Sardar and </w:t>
      </w:r>
      <w:proofErr w:type="spellStart"/>
      <w:r>
        <w:rPr>
          <w:rFonts w:ascii="Times New Roman" w:eastAsia="Times New Roman" w:hAnsi="Times New Roman" w:cs="Times New Roman"/>
          <w:i/>
        </w:rPr>
        <w:t>Kherwar</w:t>
      </w:r>
      <w:proofErr w:type="spellEnd"/>
      <w:r>
        <w:rPr>
          <w:rFonts w:ascii="Times New Roman" w:eastAsia="Times New Roman" w:hAnsi="Times New Roman" w:cs="Times New Roman"/>
          <w:i/>
        </w:rPr>
        <w:t xml:space="preserve"> Movements in Bihar,  1858-1895</w:t>
      </w:r>
      <w:r>
        <w:rPr>
          <w:rFonts w:ascii="Times New Roman" w:eastAsia="Times New Roman" w:hAnsi="Times New Roman" w:cs="Times New Roman"/>
        </w:rPr>
        <w:t xml:space="preserve">. New Delhi: Manohar Publication.  </w:t>
      </w:r>
    </w:p>
    <w:p w14:paraId="0B552F55" w14:textId="77777777" w:rsidR="003934E1" w:rsidRDefault="00000000">
      <w:pPr>
        <w:widowControl w:val="0"/>
        <w:spacing w:before="26" w:line="346" w:lineRule="auto"/>
        <w:ind w:left="562" w:right="-3" w:hanging="550"/>
        <w:rPr>
          <w:rFonts w:ascii="Times New Roman" w:eastAsia="Times New Roman" w:hAnsi="Times New Roman" w:cs="Times New Roman"/>
        </w:rPr>
      </w:pPr>
      <w:r>
        <w:rPr>
          <w:rFonts w:ascii="Times New Roman" w:eastAsia="Times New Roman" w:hAnsi="Times New Roman" w:cs="Times New Roman"/>
        </w:rPr>
        <w:t xml:space="preserve">Mahato, Nirmal Kumar. (2020). </w:t>
      </w:r>
      <w:r>
        <w:rPr>
          <w:rFonts w:ascii="Times New Roman" w:eastAsia="Times New Roman" w:hAnsi="Times New Roman" w:cs="Times New Roman"/>
          <w:i/>
        </w:rPr>
        <w:t xml:space="preserve">Sorrow Songs of Woods: Adivasi-Nature Relationships in the  Anthropocene in </w:t>
      </w:r>
      <w:proofErr w:type="spellStart"/>
      <w:r>
        <w:rPr>
          <w:rFonts w:ascii="Times New Roman" w:eastAsia="Times New Roman" w:hAnsi="Times New Roman" w:cs="Times New Roman"/>
          <w:i/>
        </w:rPr>
        <w:t>Manbhum</w:t>
      </w:r>
      <w:proofErr w:type="spellEnd"/>
      <w:r>
        <w:rPr>
          <w:rFonts w:ascii="Times New Roman" w:eastAsia="Times New Roman" w:hAnsi="Times New Roman" w:cs="Times New Roman"/>
        </w:rPr>
        <w:t xml:space="preserve">. New Delhi: Primus Books.  </w:t>
      </w:r>
    </w:p>
    <w:p w14:paraId="5E058A19" w14:textId="77777777" w:rsidR="003934E1" w:rsidRDefault="00000000">
      <w:pPr>
        <w:widowControl w:val="0"/>
        <w:spacing w:before="26" w:line="345" w:lineRule="auto"/>
        <w:ind w:left="568" w:right="-5" w:hanging="556"/>
        <w:rPr>
          <w:rFonts w:ascii="Times New Roman" w:eastAsia="Times New Roman" w:hAnsi="Times New Roman" w:cs="Times New Roman"/>
        </w:rPr>
      </w:pPr>
      <w:proofErr w:type="spellStart"/>
      <w:r>
        <w:rPr>
          <w:rFonts w:ascii="Times New Roman" w:eastAsia="Times New Roman" w:hAnsi="Times New Roman" w:cs="Times New Roman"/>
        </w:rPr>
        <w:t>Mignolo</w:t>
      </w:r>
      <w:proofErr w:type="spellEnd"/>
      <w:r>
        <w:rPr>
          <w:rFonts w:ascii="Times New Roman" w:eastAsia="Times New Roman" w:hAnsi="Times New Roman" w:cs="Times New Roman"/>
        </w:rPr>
        <w:t xml:space="preserve">, Walter D., and Catherine E. Walsh. (2018). </w:t>
      </w:r>
      <w:r>
        <w:rPr>
          <w:rFonts w:ascii="Times New Roman" w:eastAsia="Times New Roman" w:hAnsi="Times New Roman" w:cs="Times New Roman"/>
          <w:i/>
        </w:rPr>
        <w:t>On Decoloniality: Concepts, Analytics,  Praxis</w:t>
      </w:r>
      <w:r>
        <w:rPr>
          <w:rFonts w:ascii="Times New Roman" w:eastAsia="Times New Roman" w:hAnsi="Times New Roman" w:cs="Times New Roman"/>
        </w:rPr>
        <w:t xml:space="preserve">. Durham, NC: Duke University Press. </w:t>
      </w:r>
    </w:p>
    <w:p w14:paraId="158FC018" w14:textId="77777777" w:rsidR="003934E1" w:rsidRDefault="00000000">
      <w:pPr>
        <w:widowControl w:val="0"/>
        <w:spacing w:before="26" w:line="345" w:lineRule="auto"/>
        <w:ind w:left="575" w:right="-5" w:hanging="563"/>
        <w:rPr>
          <w:rFonts w:ascii="Times New Roman" w:eastAsia="Times New Roman" w:hAnsi="Times New Roman" w:cs="Times New Roman"/>
        </w:rPr>
      </w:pPr>
      <w:proofErr w:type="spellStart"/>
      <w:r>
        <w:rPr>
          <w:rFonts w:ascii="Times New Roman" w:eastAsia="Times New Roman" w:hAnsi="Times New Roman" w:cs="Times New Roman"/>
        </w:rPr>
        <w:t>Mignolo</w:t>
      </w:r>
      <w:proofErr w:type="spellEnd"/>
      <w:r>
        <w:rPr>
          <w:rFonts w:ascii="Times New Roman" w:eastAsia="Times New Roman" w:hAnsi="Times New Roman" w:cs="Times New Roman"/>
        </w:rPr>
        <w:t xml:space="preserve">, Walter. (2021). </w:t>
      </w:r>
      <w:r>
        <w:rPr>
          <w:rFonts w:ascii="Times New Roman" w:eastAsia="Times New Roman" w:hAnsi="Times New Roman" w:cs="Times New Roman"/>
          <w:i/>
        </w:rPr>
        <w:t>The Politics of Decolonial Investigations</w:t>
      </w:r>
      <w:r>
        <w:rPr>
          <w:rFonts w:ascii="Times New Roman" w:eastAsia="Times New Roman" w:hAnsi="Times New Roman" w:cs="Times New Roman"/>
        </w:rPr>
        <w:t xml:space="preserve">. United States: Duke  University Press. </w:t>
      </w:r>
    </w:p>
    <w:p w14:paraId="46C9187C" w14:textId="77777777" w:rsidR="003934E1" w:rsidRDefault="00000000">
      <w:pPr>
        <w:widowControl w:val="0"/>
        <w:spacing w:before="26" w:line="345" w:lineRule="auto"/>
        <w:ind w:left="575" w:right="-4" w:hanging="564"/>
        <w:rPr>
          <w:rFonts w:ascii="Times New Roman" w:eastAsia="Times New Roman" w:hAnsi="Times New Roman" w:cs="Times New Roman"/>
        </w:rPr>
      </w:pPr>
      <w:r>
        <w:rPr>
          <w:rFonts w:ascii="Times New Roman" w:eastAsia="Times New Roman" w:hAnsi="Times New Roman" w:cs="Times New Roman"/>
        </w:rPr>
        <w:t xml:space="preserve">Miri, Mrinal. (1993). </w:t>
      </w:r>
      <w:r>
        <w:rPr>
          <w:rFonts w:ascii="Times New Roman" w:eastAsia="Times New Roman" w:hAnsi="Times New Roman" w:cs="Times New Roman"/>
          <w:i/>
        </w:rPr>
        <w:t>Continuity and Change in Tribal Society</w:t>
      </w:r>
      <w:r>
        <w:rPr>
          <w:rFonts w:ascii="Times New Roman" w:eastAsia="Times New Roman" w:hAnsi="Times New Roman" w:cs="Times New Roman"/>
        </w:rPr>
        <w:t xml:space="preserve">. India: Indian Institute of  Advanced Study. </w:t>
      </w:r>
    </w:p>
    <w:p w14:paraId="2BBD16A1" w14:textId="77777777" w:rsidR="003934E1" w:rsidRDefault="00000000">
      <w:pPr>
        <w:widowControl w:val="0"/>
        <w:spacing w:before="27" w:line="344" w:lineRule="auto"/>
        <w:ind w:left="4"/>
        <w:rPr>
          <w:rFonts w:ascii="Times New Roman" w:eastAsia="Times New Roman" w:hAnsi="Times New Roman" w:cs="Times New Roman"/>
        </w:rPr>
      </w:pPr>
      <w:r>
        <w:rPr>
          <w:rFonts w:ascii="Times New Roman" w:eastAsia="Times New Roman" w:hAnsi="Times New Roman" w:cs="Times New Roman"/>
        </w:rPr>
        <w:t xml:space="preserve">Nathan, Dev. (1997). </w:t>
      </w:r>
      <w:r>
        <w:rPr>
          <w:rFonts w:ascii="Times New Roman" w:eastAsia="Times New Roman" w:hAnsi="Times New Roman" w:cs="Times New Roman"/>
          <w:i/>
        </w:rPr>
        <w:t>From Tribe to Caste</w:t>
      </w:r>
      <w:r>
        <w:rPr>
          <w:rFonts w:ascii="Times New Roman" w:eastAsia="Times New Roman" w:hAnsi="Times New Roman" w:cs="Times New Roman"/>
        </w:rPr>
        <w:t xml:space="preserve">. India: Indian Institute of Advanced Study. </w:t>
      </w:r>
      <w:proofErr w:type="spellStart"/>
      <w:r>
        <w:rPr>
          <w:rFonts w:ascii="Times New Roman" w:eastAsia="Times New Roman" w:hAnsi="Times New Roman" w:cs="Times New Roman"/>
        </w:rPr>
        <w:t>Nkoane</w:t>
      </w:r>
      <w:proofErr w:type="spellEnd"/>
      <w:r>
        <w:rPr>
          <w:rFonts w:ascii="Times New Roman" w:eastAsia="Times New Roman" w:hAnsi="Times New Roman" w:cs="Times New Roman"/>
        </w:rPr>
        <w:t xml:space="preserve">, M. M. (2012). ‘Critical Emancipatory Research for Social Justice and Democratic  Citizenship.’ </w:t>
      </w:r>
      <w:r>
        <w:rPr>
          <w:rFonts w:ascii="Times New Roman" w:eastAsia="Times New Roman" w:hAnsi="Times New Roman" w:cs="Times New Roman"/>
          <w:i/>
        </w:rPr>
        <w:t xml:space="preserve">Perspectives in Education </w:t>
      </w:r>
      <w:r>
        <w:rPr>
          <w:rFonts w:ascii="Times New Roman" w:eastAsia="Times New Roman" w:hAnsi="Times New Roman" w:cs="Times New Roman"/>
        </w:rPr>
        <w:t xml:space="preserve">30, 98-104. </w:t>
      </w:r>
    </w:p>
    <w:p w14:paraId="1019E034" w14:textId="77777777" w:rsidR="003934E1" w:rsidRDefault="00000000">
      <w:pPr>
        <w:widowControl w:val="0"/>
        <w:spacing w:before="30" w:line="343" w:lineRule="auto"/>
        <w:ind w:left="582" w:right="-4" w:hanging="578"/>
        <w:rPr>
          <w:rFonts w:ascii="Times New Roman" w:eastAsia="Times New Roman" w:hAnsi="Times New Roman" w:cs="Times New Roman"/>
        </w:rPr>
      </w:pPr>
      <w:r>
        <w:rPr>
          <w:rFonts w:ascii="Times New Roman" w:eastAsia="Times New Roman" w:hAnsi="Times New Roman" w:cs="Times New Roman"/>
        </w:rPr>
        <w:t xml:space="preserve">Nkrumah, K. (1965). </w:t>
      </w:r>
      <w:r>
        <w:rPr>
          <w:rFonts w:ascii="Times New Roman" w:eastAsia="Times New Roman" w:hAnsi="Times New Roman" w:cs="Times New Roman"/>
          <w:i/>
        </w:rPr>
        <w:t>Neo-colonialism: The last stage of imperialism</w:t>
      </w:r>
      <w:r>
        <w:rPr>
          <w:rFonts w:ascii="Times New Roman" w:eastAsia="Times New Roman" w:hAnsi="Times New Roman" w:cs="Times New Roman"/>
        </w:rPr>
        <w:t xml:space="preserve">. London: Thomas Nelson  &amp; Sons. </w:t>
      </w:r>
    </w:p>
    <w:p w14:paraId="4BBAE9D4" w14:textId="77777777" w:rsidR="003934E1" w:rsidRDefault="00000000">
      <w:pPr>
        <w:widowControl w:val="0"/>
        <w:spacing w:before="31" w:line="343" w:lineRule="auto"/>
        <w:ind w:left="578" w:right="-5" w:hanging="566"/>
        <w:rPr>
          <w:rFonts w:ascii="Times New Roman" w:eastAsia="Times New Roman" w:hAnsi="Times New Roman" w:cs="Times New Roman"/>
        </w:rPr>
      </w:pPr>
      <w:r>
        <w:rPr>
          <w:rFonts w:ascii="Times New Roman" w:eastAsia="Times New Roman" w:hAnsi="Times New Roman" w:cs="Times New Roman"/>
        </w:rPr>
        <w:t xml:space="preserve">Padel, Felix. (1995). </w:t>
      </w:r>
      <w:r>
        <w:rPr>
          <w:rFonts w:ascii="Times New Roman" w:eastAsia="Times New Roman" w:hAnsi="Times New Roman" w:cs="Times New Roman"/>
          <w:i/>
        </w:rPr>
        <w:t xml:space="preserve">The Sacrifice of Human Being: British Rule and the </w:t>
      </w:r>
      <w:proofErr w:type="spellStart"/>
      <w:r>
        <w:rPr>
          <w:rFonts w:ascii="Times New Roman" w:eastAsia="Times New Roman" w:hAnsi="Times New Roman" w:cs="Times New Roman"/>
          <w:i/>
        </w:rPr>
        <w:t>Konds</w:t>
      </w:r>
      <w:proofErr w:type="spellEnd"/>
      <w:r>
        <w:rPr>
          <w:rFonts w:ascii="Times New Roman" w:eastAsia="Times New Roman" w:hAnsi="Times New Roman" w:cs="Times New Roman"/>
          <w:i/>
        </w:rPr>
        <w:t xml:space="preserve"> of Orissa</w:t>
      </w:r>
      <w:r>
        <w:rPr>
          <w:rFonts w:ascii="Times New Roman" w:eastAsia="Times New Roman" w:hAnsi="Times New Roman" w:cs="Times New Roman"/>
        </w:rPr>
        <w:t xml:space="preserve">.  Delhi: Oxford University Press. </w:t>
      </w:r>
    </w:p>
    <w:p w14:paraId="5CA95A08" w14:textId="77777777" w:rsidR="003934E1" w:rsidRDefault="00000000">
      <w:pPr>
        <w:widowControl w:val="0"/>
        <w:spacing w:before="31" w:line="344" w:lineRule="auto"/>
        <w:ind w:left="562" w:right="-2" w:hanging="550"/>
        <w:rPr>
          <w:rFonts w:ascii="Times New Roman" w:eastAsia="Times New Roman" w:hAnsi="Times New Roman" w:cs="Times New Roman"/>
        </w:rPr>
      </w:pPr>
      <w:r>
        <w:rPr>
          <w:rFonts w:ascii="Times New Roman" w:eastAsia="Times New Roman" w:hAnsi="Times New Roman" w:cs="Times New Roman"/>
        </w:rPr>
        <w:t xml:space="preserve">Padel, Felix, and Das, Samarendra. (2010). </w:t>
      </w:r>
      <w:r>
        <w:rPr>
          <w:rFonts w:ascii="Times New Roman" w:eastAsia="Times New Roman" w:hAnsi="Times New Roman" w:cs="Times New Roman"/>
          <w:i/>
        </w:rPr>
        <w:t>Out of This Earth: East India Adivasis and the  Aluminium Cartel</w:t>
      </w:r>
      <w:r>
        <w:rPr>
          <w:rFonts w:ascii="Times New Roman" w:eastAsia="Times New Roman" w:hAnsi="Times New Roman" w:cs="Times New Roman"/>
        </w:rPr>
        <w:t xml:space="preserve">. New Delhi: Orient </w:t>
      </w:r>
      <w:proofErr w:type="spellStart"/>
      <w:r>
        <w:rPr>
          <w:rFonts w:ascii="Times New Roman" w:eastAsia="Times New Roman" w:hAnsi="Times New Roman" w:cs="Times New Roman"/>
        </w:rPr>
        <w:t>Blackswan</w:t>
      </w:r>
      <w:proofErr w:type="spellEnd"/>
      <w:r>
        <w:rPr>
          <w:rFonts w:ascii="Times New Roman" w:eastAsia="Times New Roman" w:hAnsi="Times New Roman" w:cs="Times New Roman"/>
        </w:rPr>
        <w:t xml:space="preserve">.  </w:t>
      </w:r>
    </w:p>
    <w:p w14:paraId="67EFD3F3" w14:textId="77777777" w:rsidR="003934E1" w:rsidRDefault="00000000">
      <w:pPr>
        <w:widowControl w:val="0"/>
        <w:spacing w:before="30" w:line="343" w:lineRule="auto"/>
        <w:ind w:left="571" w:right="-5" w:hanging="559"/>
        <w:rPr>
          <w:rFonts w:ascii="Times New Roman" w:eastAsia="Times New Roman" w:hAnsi="Times New Roman" w:cs="Times New Roman"/>
        </w:rPr>
      </w:pPr>
      <w:r>
        <w:rPr>
          <w:rFonts w:ascii="Times New Roman" w:eastAsia="Times New Roman" w:hAnsi="Times New Roman" w:cs="Times New Roman"/>
        </w:rPr>
        <w:t xml:space="preserve">Pati, </w:t>
      </w:r>
      <w:proofErr w:type="spellStart"/>
      <w:r>
        <w:rPr>
          <w:rFonts w:ascii="Times New Roman" w:eastAsia="Times New Roman" w:hAnsi="Times New Roman" w:cs="Times New Roman"/>
        </w:rPr>
        <w:t>Biswamoy</w:t>
      </w:r>
      <w:proofErr w:type="spellEnd"/>
      <w:r>
        <w:rPr>
          <w:rFonts w:ascii="Times New Roman" w:eastAsia="Times New Roman" w:hAnsi="Times New Roman" w:cs="Times New Roman"/>
        </w:rPr>
        <w:t xml:space="preserve"> ed. (2011). </w:t>
      </w:r>
      <w:r>
        <w:rPr>
          <w:rFonts w:ascii="Times New Roman" w:eastAsia="Times New Roman" w:hAnsi="Times New Roman" w:cs="Times New Roman"/>
          <w:i/>
        </w:rPr>
        <w:t>Adivasis in Colonial India: Survival, Resistance and Negotiation</w:t>
      </w:r>
      <w:r>
        <w:rPr>
          <w:rFonts w:ascii="Times New Roman" w:eastAsia="Times New Roman" w:hAnsi="Times New Roman" w:cs="Times New Roman"/>
        </w:rPr>
        <w:t xml:space="preserve">.  New Delhi: Orient </w:t>
      </w:r>
      <w:proofErr w:type="spellStart"/>
      <w:r>
        <w:rPr>
          <w:rFonts w:ascii="Times New Roman" w:eastAsia="Times New Roman" w:hAnsi="Times New Roman" w:cs="Times New Roman"/>
        </w:rPr>
        <w:t>Blackswan</w:t>
      </w:r>
      <w:proofErr w:type="spellEnd"/>
      <w:r>
        <w:rPr>
          <w:rFonts w:ascii="Times New Roman" w:eastAsia="Times New Roman" w:hAnsi="Times New Roman" w:cs="Times New Roman"/>
        </w:rPr>
        <w:t xml:space="preserve">.  </w:t>
      </w:r>
    </w:p>
    <w:p w14:paraId="76A2F275" w14:textId="77777777" w:rsidR="003934E1" w:rsidRDefault="00000000">
      <w:pPr>
        <w:widowControl w:val="0"/>
        <w:spacing w:before="31" w:line="343" w:lineRule="auto"/>
        <w:ind w:left="578" w:right="-5" w:hanging="566"/>
        <w:rPr>
          <w:rFonts w:ascii="Times New Roman" w:eastAsia="Times New Roman" w:hAnsi="Times New Roman" w:cs="Times New Roman"/>
        </w:rPr>
      </w:pPr>
      <w:proofErr w:type="spellStart"/>
      <w:r>
        <w:rPr>
          <w:rFonts w:ascii="Times New Roman" w:eastAsia="Times New Roman" w:hAnsi="Times New Roman" w:cs="Times New Roman"/>
        </w:rPr>
        <w:t>Ponette</w:t>
      </w:r>
      <w:proofErr w:type="spellEnd"/>
      <w:r>
        <w:rPr>
          <w:rFonts w:ascii="Times New Roman" w:eastAsia="Times New Roman" w:hAnsi="Times New Roman" w:cs="Times New Roman"/>
        </w:rPr>
        <w:t xml:space="preserve">, Pierre. (1978). </w:t>
      </w:r>
      <w:r>
        <w:rPr>
          <w:rFonts w:ascii="Times New Roman" w:eastAsia="Times New Roman" w:hAnsi="Times New Roman" w:cs="Times New Roman"/>
          <w:i/>
        </w:rPr>
        <w:t>The Munda World: Hoffmann Commemoration Volume</w:t>
      </w:r>
      <w:r>
        <w:rPr>
          <w:rFonts w:ascii="Times New Roman" w:eastAsia="Times New Roman" w:hAnsi="Times New Roman" w:cs="Times New Roman"/>
        </w:rPr>
        <w:t xml:space="preserve">. India: Catholic  Press. </w:t>
      </w:r>
    </w:p>
    <w:p w14:paraId="643C62E5" w14:textId="77777777" w:rsidR="003934E1" w:rsidRDefault="00000000">
      <w:pPr>
        <w:widowControl w:val="0"/>
        <w:spacing w:before="31" w:line="343" w:lineRule="auto"/>
        <w:ind w:left="568" w:right="-1" w:hanging="556"/>
        <w:rPr>
          <w:rFonts w:ascii="Times New Roman" w:eastAsia="Times New Roman" w:hAnsi="Times New Roman" w:cs="Times New Roman"/>
        </w:rPr>
      </w:pPr>
      <w:r>
        <w:rPr>
          <w:rFonts w:ascii="Times New Roman" w:eastAsia="Times New Roman" w:hAnsi="Times New Roman" w:cs="Times New Roman"/>
        </w:rPr>
        <w:t xml:space="preserve">Radhakrishna, Meena. (2016). </w:t>
      </w:r>
      <w:r>
        <w:rPr>
          <w:rFonts w:ascii="Times New Roman" w:eastAsia="Times New Roman" w:hAnsi="Times New Roman" w:cs="Times New Roman"/>
          <w:i/>
        </w:rPr>
        <w:t>First Citizens: Studies on Adivasis, Tribals, and Indigenous  Peoples in India</w:t>
      </w:r>
      <w:r>
        <w:rPr>
          <w:rFonts w:ascii="Times New Roman" w:eastAsia="Times New Roman" w:hAnsi="Times New Roman" w:cs="Times New Roman"/>
        </w:rPr>
        <w:t xml:space="preserve">. India: Oxford University Press. </w:t>
      </w:r>
    </w:p>
    <w:p w14:paraId="7BAAD6B6" w14:textId="77777777" w:rsidR="003934E1" w:rsidRDefault="00000000">
      <w:pPr>
        <w:widowControl w:val="0"/>
        <w:spacing w:before="31" w:line="343" w:lineRule="auto"/>
        <w:ind w:left="575" w:right="-4" w:hanging="563"/>
        <w:rPr>
          <w:rFonts w:ascii="Times New Roman" w:eastAsia="Times New Roman" w:hAnsi="Times New Roman" w:cs="Times New Roman"/>
        </w:rPr>
      </w:pPr>
      <w:r>
        <w:rPr>
          <w:rFonts w:ascii="Times New Roman" w:eastAsia="Times New Roman" w:hAnsi="Times New Roman" w:cs="Times New Roman"/>
        </w:rPr>
        <w:t xml:space="preserve">Rapp, T. S. (2024, July 9). </w:t>
      </w:r>
      <w:r>
        <w:rPr>
          <w:rFonts w:ascii="Times New Roman" w:eastAsia="Times New Roman" w:hAnsi="Times New Roman" w:cs="Times New Roman"/>
          <w:i/>
        </w:rPr>
        <w:t>The myth of early man as noble savage</w:t>
      </w:r>
      <w:r>
        <w:rPr>
          <w:rFonts w:ascii="Times New Roman" w:eastAsia="Times New Roman" w:hAnsi="Times New Roman" w:cs="Times New Roman"/>
        </w:rPr>
        <w:t xml:space="preserve">. Noema Magazine.  </w:t>
      </w:r>
      <w:r>
        <w:rPr>
          <w:rFonts w:ascii="Times New Roman" w:eastAsia="Times New Roman" w:hAnsi="Times New Roman" w:cs="Times New Roman"/>
          <w:color w:val="0563C1"/>
          <w:u w:val="single"/>
        </w:rPr>
        <w:t>https://www.noemamag.com/paradise-lost/</w:t>
      </w:r>
      <w:r>
        <w:rPr>
          <w:rFonts w:ascii="Times New Roman" w:eastAsia="Times New Roman" w:hAnsi="Times New Roman" w:cs="Times New Roman"/>
        </w:rPr>
        <w:t xml:space="preserve">. </w:t>
      </w:r>
    </w:p>
    <w:p w14:paraId="63FBF70E" w14:textId="77777777" w:rsidR="003934E1" w:rsidRDefault="00000000">
      <w:pPr>
        <w:widowControl w:val="0"/>
        <w:spacing w:before="31"/>
        <w:ind w:left="11"/>
        <w:rPr>
          <w:rFonts w:ascii="Times New Roman" w:eastAsia="Times New Roman" w:hAnsi="Times New Roman" w:cs="Times New Roman"/>
        </w:rPr>
      </w:pPr>
      <w:proofErr w:type="spellStart"/>
      <w:r>
        <w:rPr>
          <w:rFonts w:ascii="Times New Roman" w:eastAsia="Times New Roman" w:hAnsi="Times New Roman" w:cs="Times New Roman"/>
        </w:rPr>
        <w:t>Ratnagar</w:t>
      </w:r>
      <w:proofErr w:type="spellEnd"/>
      <w:r>
        <w:rPr>
          <w:rFonts w:ascii="Times New Roman" w:eastAsia="Times New Roman" w:hAnsi="Times New Roman" w:cs="Times New Roman"/>
        </w:rPr>
        <w:t xml:space="preserve">, S. (2010). </w:t>
      </w:r>
      <w:r>
        <w:rPr>
          <w:rFonts w:ascii="Times New Roman" w:eastAsia="Times New Roman" w:hAnsi="Times New Roman" w:cs="Times New Roman"/>
          <w:i/>
        </w:rPr>
        <w:t>Being Tribal</w:t>
      </w:r>
      <w:r>
        <w:rPr>
          <w:rFonts w:ascii="Times New Roman" w:eastAsia="Times New Roman" w:hAnsi="Times New Roman" w:cs="Times New Roman"/>
        </w:rPr>
        <w:t>. India: Primus Books.</w:t>
      </w:r>
    </w:p>
    <w:p w14:paraId="5441C65A" w14:textId="77777777" w:rsidR="003934E1" w:rsidRDefault="00000000">
      <w:pPr>
        <w:widowControl w:val="0"/>
        <w:ind w:right="53"/>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23 </w:t>
      </w:r>
    </w:p>
    <w:p w14:paraId="7A63449B"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4D4BED50" w14:textId="77777777" w:rsidR="003934E1" w:rsidRDefault="00000000">
      <w:pPr>
        <w:widowControl w:val="0"/>
        <w:spacing w:before="579" w:line="344" w:lineRule="auto"/>
        <w:ind w:left="11" w:right="-5" w:hanging="11"/>
        <w:rPr>
          <w:rFonts w:ascii="Times New Roman" w:eastAsia="Times New Roman" w:hAnsi="Times New Roman" w:cs="Times New Roman"/>
        </w:rPr>
      </w:pPr>
      <w:r>
        <w:rPr>
          <w:rFonts w:ascii="Times New Roman" w:eastAsia="Times New Roman" w:hAnsi="Times New Roman" w:cs="Times New Roman"/>
        </w:rPr>
        <w:lastRenderedPageBreak/>
        <w:t xml:space="preserve">Robb, Peter. (1995). ‘Introduction: South Asia and the concept of race.’ In Peter Robb ed. </w:t>
      </w:r>
      <w:r>
        <w:rPr>
          <w:rFonts w:ascii="Times New Roman" w:eastAsia="Times New Roman" w:hAnsi="Times New Roman" w:cs="Times New Roman"/>
          <w:i/>
        </w:rPr>
        <w:t xml:space="preserve">The  Concept of Race in South Asia </w:t>
      </w:r>
      <w:r>
        <w:rPr>
          <w:rFonts w:ascii="Times New Roman" w:eastAsia="Times New Roman" w:hAnsi="Times New Roman" w:cs="Times New Roman"/>
        </w:rPr>
        <w:t xml:space="preserve">(pp. 1-76). India: Oxford University Press. Said, Edward W. (1978). Orientalism. New York: Pantheon Books.  </w:t>
      </w:r>
    </w:p>
    <w:p w14:paraId="74DBEB67" w14:textId="77777777" w:rsidR="003934E1" w:rsidRDefault="00000000">
      <w:pPr>
        <w:widowControl w:val="0"/>
        <w:spacing w:before="27" w:line="345" w:lineRule="auto"/>
        <w:ind w:left="578" w:right="-5" w:hanging="555"/>
        <w:rPr>
          <w:rFonts w:ascii="Times New Roman" w:eastAsia="Times New Roman" w:hAnsi="Times New Roman" w:cs="Times New Roman"/>
        </w:rPr>
      </w:pPr>
      <w:r>
        <w:rPr>
          <w:rFonts w:ascii="Times New Roman" w:eastAsia="Times New Roman" w:hAnsi="Times New Roman" w:cs="Times New Roman"/>
        </w:rPr>
        <w:t xml:space="preserve">Samaddar, </w:t>
      </w:r>
      <w:proofErr w:type="spellStart"/>
      <w:r>
        <w:rPr>
          <w:rFonts w:ascii="Times New Roman" w:eastAsia="Times New Roman" w:hAnsi="Times New Roman" w:cs="Times New Roman"/>
        </w:rPr>
        <w:t>Ranabir</w:t>
      </w:r>
      <w:proofErr w:type="spellEnd"/>
      <w:r>
        <w:rPr>
          <w:rFonts w:ascii="Times New Roman" w:eastAsia="Times New Roman" w:hAnsi="Times New Roman" w:cs="Times New Roman"/>
        </w:rPr>
        <w:t xml:space="preserve">. (2013). </w:t>
      </w:r>
      <w:r>
        <w:rPr>
          <w:rFonts w:ascii="Times New Roman" w:eastAsia="Times New Roman" w:hAnsi="Times New Roman" w:cs="Times New Roman"/>
          <w:i/>
        </w:rPr>
        <w:t xml:space="preserve">Memory, Identity, Power: Politics in the </w:t>
      </w:r>
      <w:proofErr w:type="spellStart"/>
      <w:r>
        <w:rPr>
          <w:rFonts w:ascii="Times New Roman" w:eastAsia="Times New Roman" w:hAnsi="Times New Roman" w:cs="Times New Roman"/>
          <w:i/>
        </w:rPr>
        <w:t>Junglemahals</w:t>
      </w:r>
      <w:proofErr w:type="spellEnd"/>
      <w:r>
        <w:rPr>
          <w:rFonts w:ascii="Times New Roman" w:eastAsia="Times New Roman" w:hAnsi="Times New Roman" w:cs="Times New Roman"/>
          <w:i/>
        </w:rPr>
        <w:t>, 1890-1950</w:t>
      </w:r>
      <w:r>
        <w:rPr>
          <w:rFonts w:ascii="Times New Roman" w:eastAsia="Times New Roman" w:hAnsi="Times New Roman" w:cs="Times New Roman"/>
        </w:rPr>
        <w:t xml:space="preserve">.  Hyderabad: Orient </w:t>
      </w:r>
      <w:proofErr w:type="spellStart"/>
      <w:r>
        <w:rPr>
          <w:rFonts w:ascii="Times New Roman" w:eastAsia="Times New Roman" w:hAnsi="Times New Roman" w:cs="Times New Roman"/>
        </w:rPr>
        <w:t>BlackSwan</w:t>
      </w:r>
      <w:proofErr w:type="spellEnd"/>
      <w:r>
        <w:rPr>
          <w:rFonts w:ascii="Times New Roman" w:eastAsia="Times New Roman" w:hAnsi="Times New Roman" w:cs="Times New Roman"/>
        </w:rPr>
        <w:t xml:space="preserve">.  </w:t>
      </w:r>
    </w:p>
    <w:p w14:paraId="33E2CA5A" w14:textId="77777777" w:rsidR="003934E1" w:rsidRDefault="00000000">
      <w:pPr>
        <w:widowControl w:val="0"/>
        <w:spacing w:before="26" w:line="344" w:lineRule="auto"/>
        <w:ind w:left="22" w:right="-3"/>
        <w:rPr>
          <w:rFonts w:ascii="Times New Roman" w:eastAsia="Times New Roman" w:hAnsi="Times New Roman" w:cs="Times New Roman"/>
          <w:color w:val="000009"/>
        </w:rPr>
      </w:pPr>
      <w:r>
        <w:rPr>
          <w:rFonts w:ascii="Times New Roman" w:eastAsia="Times New Roman" w:hAnsi="Times New Roman" w:cs="Times New Roman"/>
        </w:rPr>
        <w:t xml:space="preserve">Sarkar, Sumit. (2003). </w:t>
      </w:r>
      <w:r>
        <w:rPr>
          <w:rFonts w:ascii="Times New Roman" w:eastAsia="Times New Roman" w:hAnsi="Times New Roman" w:cs="Times New Roman"/>
          <w:i/>
        </w:rPr>
        <w:t>Writing Social History</w:t>
      </w:r>
      <w:r>
        <w:rPr>
          <w:rFonts w:ascii="Times New Roman" w:eastAsia="Times New Roman" w:hAnsi="Times New Roman" w:cs="Times New Roman"/>
        </w:rPr>
        <w:t xml:space="preserve">. Delhi: Oxford University Press.  Sen, Asoka Kumar. (2012). </w:t>
      </w:r>
      <w:r>
        <w:rPr>
          <w:rFonts w:ascii="Times New Roman" w:eastAsia="Times New Roman" w:hAnsi="Times New Roman" w:cs="Times New Roman"/>
          <w:i/>
        </w:rPr>
        <w:t>From Village Elder to British Judge</w:t>
      </w:r>
      <w:r>
        <w:rPr>
          <w:rFonts w:ascii="Times New Roman" w:eastAsia="Times New Roman" w:hAnsi="Times New Roman" w:cs="Times New Roman"/>
        </w:rPr>
        <w:t xml:space="preserve">. New Delhi: Orient </w:t>
      </w:r>
      <w:proofErr w:type="spellStart"/>
      <w:r>
        <w:rPr>
          <w:rFonts w:ascii="Times New Roman" w:eastAsia="Times New Roman" w:hAnsi="Times New Roman" w:cs="Times New Roman"/>
        </w:rPr>
        <w:t>Blackswan</w:t>
      </w:r>
      <w:proofErr w:type="spellEnd"/>
      <w:r>
        <w:rPr>
          <w:rFonts w:ascii="Times New Roman" w:eastAsia="Times New Roman" w:hAnsi="Times New Roman" w:cs="Times New Roman"/>
        </w:rPr>
        <w:t xml:space="preserve">.  </w:t>
      </w:r>
      <w:r>
        <w:rPr>
          <w:rFonts w:ascii="Times New Roman" w:eastAsia="Times New Roman" w:hAnsi="Times New Roman" w:cs="Times New Roman"/>
          <w:color w:val="000009"/>
        </w:rPr>
        <w:t xml:space="preserve">Singh, K.S. ‘Tribal Ethnicity in a Multi-Ethnic Society: Conflict and Integration in Colonial </w:t>
      </w:r>
    </w:p>
    <w:p w14:paraId="1E79A2CF" w14:textId="77777777" w:rsidR="003934E1" w:rsidRDefault="00000000">
      <w:pPr>
        <w:widowControl w:val="0"/>
        <w:spacing w:before="30" w:line="343" w:lineRule="auto"/>
        <w:ind w:left="568" w:right="-2" w:firstLine="13"/>
        <w:rPr>
          <w:rFonts w:ascii="Times New Roman" w:eastAsia="Times New Roman" w:hAnsi="Times New Roman" w:cs="Times New Roman"/>
          <w:color w:val="000009"/>
        </w:rPr>
      </w:pPr>
      <w:r>
        <w:rPr>
          <w:rFonts w:ascii="Times New Roman" w:eastAsia="Times New Roman" w:hAnsi="Times New Roman" w:cs="Times New Roman"/>
          <w:color w:val="000009"/>
        </w:rPr>
        <w:t xml:space="preserve">and Post-Colonial </w:t>
      </w:r>
      <w:proofErr w:type="spellStart"/>
      <w:r>
        <w:rPr>
          <w:rFonts w:ascii="Times New Roman" w:eastAsia="Times New Roman" w:hAnsi="Times New Roman" w:cs="Times New Roman"/>
          <w:color w:val="000009"/>
        </w:rPr>
        <w:t>Chotanagpur</w:t>
      </w:r>
      <w:proofErr w:type="spellEnd"/>
      <w:r>
        <w:rPr>
          <w:rFonts w:ascii="Times New Roman" w:eastAsia="Times New Roman" w:hAnsi="Times New Roman" w:cs="Times New Roman"/>
          <w:color w:val="000009"/>
        </w:rPr>
        <w:t xml:space="preserve">’ (pp. 65-101). In </w:t>
      </w:r>
      <w:r>
        <w:rPr>
          <w:rFonts w:ascii="Times New Roman" w:eastAsia="Times New Roman" w:hAnsi="Times New Roman" w:cs="Times New Roman"/>
          <w:i/>
          <w:color w:val="000009"/>
        </w:rPr>
        <w:t>UNESCO, Trends in Ethnic Group  Relations in Asia and Oceana: Race and Society</w:t>
      </w:r>
      <w:r>
        <w:rPr>
          <w:rFonts w:ascii="Times New Roman" w:eastAsia="Times New Roman" w:hAnsi="Times New Roman" w:cs="Times New Roman"/>
          <w:color w:val="000009"/>
        </w:rPr>
        <w:t xml:space="preserve">. Paris. </w:t>
      </w:r>
    </w:p>
    <w:p w14:paraId="3B6796F2" w14:textId="77777777" w:rsidR="003934E1" w:rsidRDefault="00000000">
      <w:pPr>
        <w:widowControl w:val="0"/>
        <w:spacing w:before="31" w:line="344" w:lineRule="auto"/>
        <w:ind w:left="22" w:right="-5"/>
        <w:rPr>
          <w:rFonts w:ascii="Times New Roman" w:eastAsia="Times New Roman" w:hAnsi="Times New Roman" w:cs="Times New Roman"/>
        </w:rPr>
      </w:pPr>
      <w:r>
        <w:rPr>
          <w:rFonts w:ascii="Times New Roman" w:eastAsia="Times New Roman" w:hAnsi="Times New Roman" w:cs="Times New Roman"/>
        </w:rPr>
        <w:t xml:space="preserve">Skaria, Ajay. (1997). ‘Shades of Wildness Tribe, Caste, and Gender in Western India.’ </w:t>
      </w:r>
      <w:r>
        <w:rPr>
          <w:rFonts w:ascii="Times New Roman" w:eastAsia="Times New Roman" w:hAnsi="Times New Roman" w:cs="Times New Roman"/>
          <w:i/>
        </w:rPr>
        <w:t xml:space="preserve">The  Journal of Asian Studies </w:t>
      </w:r>
      <w:r>
        <w:rPr>
          <w:rFonts w:ascii="Times New Roman" w:eastAsia="Times New Roman" w:hAnsi="Times New Roman" w:cs="Times New Roman"/>
        </w:rPr>
        <w:t xml:space="preserve">56 (3), 726-745. </w:t>
      </w:r>
      <w:r>
        <w:rPr>
          <w:rFonts w:ascii="Times New Roman" w:eastAsia="Times New Roman" w:hAnsi="Times New Roman" w:cs="Times New Roman"/>
          <w:color w:val="0563C1"/>
          <w:u w:val="single"/>
        </w:rPr>
        <w:t>https://www.jstor.org/stable/2659607</w:t>
      </w:r>
      <w:r>
        <w:rPr>
          <w:rFonts w:ascii="Times New Roman" w:eastAsia="Times New Roman" w:hAnsi="Times New Roman" w:cs="Times New Roman"/>
        </w:rPr>
        <w:t xml:space="preserve">. Skaria, Ajay. (1999). </w:t>
      </w:r>
      <w:r>
        <w:rPr>
          <w:rFonts w:ascii="Times New Roman" w:eastAsia="Times New Roman" w:hAnsi="Times New Roman" w:cs="Times New Roman"/>
          <w:i/>
        </w:rPr>
        <w:t>Hybrid Histories: Forests, Frontiers and Wildness in Western India</w:t>
      </w:r>
      <w:r>
        <w:rPr>
          <w:rFonts w:ascii="Times New Roman" w:eastAsia="Times New Roman" w:hAnsi="Times New Roman" w:cs="Times New Roman"/>
        </w:rPr>
        <w:t xml:space="preserve">. India:  Oxford University Press. </w:t>
      </w:r>
    </w:p>
    <w:p w14:paraId="1016A127" w14:textId="77777777" w:rsidR="003934E1" w:rsidRDefault="00000000">
      <w:pPr>
        <w:widowControl w:val="0"/>
        <w:spacing w:before="30" w:line="344" w:lineRule="auto"/>
        <w:ind w:left="578" w:right="-5" w:hanging="555"/>
        <w:rPr>
          <w:rFonts w:ascii="Times New Roman" w:eastAsia="Times New Roman" w:hAnsi="Times New Roman" w:cs="Times New Roman"/>
        </w:rPr>
      </w:pPr>
      <w:r>
        <w:rPr>
          <w:rFonts w:ascii="Times New Roman" w:eastAsia="Times New Roman" w:hAnsi="Times New Roman" w:cs="Times New Roman"/>
        </w:rPr>
        <w:t xml:space="preserve">Stanley, Peter. (2022). </w:t>
      </w:r>
      <w:r>
        <w:rPr>
          <w:rFonts w:ascii="Times New Roman" w:eastAsia="Times New Roman" w:hAnsi="Times New Roman" w:cs="Times New Roman"/>
          <w:i/>
        </w:rPr>
        <w:t>Hul! Hul! The Suppression of the Santal Rebellion in Bengal, 1855</w:t>
      </w:r>
      <w:r>
        <w:rPr>
          <w:rFonts w:ascii="Times New Roman" w:eastAsia="Times New Roman" w:hAnsi="Times New Roman" w:cs="Times New Roman"/>
        </w:rPr>
        <w:t xml:space="preserve">. New  Delhi: Bloomsbury India. </w:t>
      </w:r>
    </w:p>
    <w:p w14:paraId="4F310379" w14:textId="77777777" w:rsidR="003934E1" w:rsidRDefault="00000000">
      <w:pPr>
        <w:widowControl w:val="0"/>
        <w:spacing w:before="30" w:line="344" w:lineRule="auto"/>
        <w:ind w:left="578" w:right="-5" w:hanging="563"/>
        <w:jc w:val="both"/>
        <w:rPr>
          <w:rFonts w:ascii="Times New Roman" w:eastAsia="Times New Roman" w:hAnsi="Times New Roman" w:cs="Times New Roman"/>
        </w:rPr>
      </w:pPr>
      <w:r>
        <w:rPr>
          <w:rFonts w:ascii="Times New Roman" w:eastAsia="Times New Roman" w:hAnsi="Times New Roman" w:cs="Times New Roman"/>
        </w:rPr>
        <w:t xml:space="preserve">Tewari, Sagar. (2017). </w:t>
      </w:r>
      <w:r>
        <w:rPr>
          <w:rFonts w:ascii="Times New Roman" w:eastAsia="Times New Roman" w:hAnsi="Times New Roman" w:cs="Times New Roman"/>
          <w:i/>
        </w:rPr>
        <w:t>Debating Tribe and Nation: Hutton, Thakkar, Ambedkar, and Elwin  (1920s–1940s)</w:t>
      </w:r>
      <w:r>
        <w:rPr>
          <w:rFonts w:ascii="Times New Roman" w:eastAsia="Times New Roman" w:hAnsi="Times New Roman" w:cs="Times New Roman"/>
        </w:rPr>
        <w:t xml:space="preserve">. </w:t>
      </w:r>
      <w:r>
        <w:rPr>
          <w:rFonts w:ascii="Times New Roman" w:eastAsia="Times New Roman" w:hAnsi="Times New Roman" w:cs="Times New Roman"/>
          <w:i/>
        </w:rPr>
        <w:t xml:space="preserve">NMML Occasional Paper: History and Society, New Series </w:t>
      </w:r>
      <w:r>
        <w:rPr>
          <w:rFonts w:ascii="Times New Roman" w:eastAsia="Times New Roman" w:hAnsi="Times New Roman" w:cs="Times New Roman"/>
        </w:rPr>
        <w:t xml:space="preserve">86. New  Delhi, Nehru Memorial Museum and Library, n.d. </w:t>
      </w:r>
    </w:p>
    <w:p w14:paraId="265F1C8A" w14:textId="77777777" w:rsidR="003934E1" w:rsidRDefault="00000000">
      <w:pPr>
        <w:widowControl w:val="0"/>
        <w:spacing w:before="27" w:line="344" w:lineRule="auto"/>
        <w:ind w:left="575" w:right="-5" w:hanging="560"/>
        <w:jc w:val="both"/>
        <w:rPr>
          <w:rFonts w:ascii="Times New Roman" w:eastAsia="Times New Roman" w:hAnsi="Times New Roman" w:cs="Times New Roman"/>
        </w:rPr>
      </w:pPr>
      <w:r>
        <w:rPr>
          <w:rFonts w:ascii="Times New Roman" w:eastAsia="Times New Roman" w:hAnsi="Times New Roman" w:cs="Times New Roman"/>
        </w:rPr>
        <w:t xml:space="preserve">Tewari, Saagar. (2022). ‘Framing the Fifth Schedule: Tribal agency and the making of the  Indian Constitution (1937-1950).’ </w:t>
      </w:r>
      <w:r>
        <w:rPr>
          <w:rFonts w:ascii="Times New Roman" w:eastAsia="Times New Roman" w:hAnsi="Times New Roman" w:cs="Times New Roman"/>
          <w:i/>
        </w:rPr>
        <w:t xml:space="preserve">Modern Asian Studies </w:t>
      </w:r>
      <w:r>
        <w:rPr>
          <w:rFonts w:ascii="Times New Roman" w:eastAsia="Times New Roman" w:hAnsi="Times New Roman" w:cs="Times New Roman"/>
        </w:rPr>
        <w:t xml:space="preserve">56, 1556-1594.  </w:t>
      </w:r>
      <w:r>
        <w:rPr>
          <w:rFonts w:ascii="Times New Roman" w:eastAsia="Times New Roman" w:hAnsi="Times New Roman" w:cs="Times New Roman"/>
          <w:color w:val="0563C1"/>
          <w:u w:val="single"/>
        </w:rPr>
        <w:t>https://doi.org/10.1017/S0026749X21000779</w:t>
      </w:r>
      <w:r>
        <w:rPr>
          <w:rFonts w:ascii="Times New Roman" w:eastAsia="Times New Roman" w:hAnsi="Times New Roman" w:cs="Times New Roman"/>
        </w:rPr>
        <w:t xml:space="preserve">. </w:t>
      </w:r>
    </w:p>
    <w:p w14:paraId="29D69CF8" w14:textId="77777777" w:rsidR="003934E1" w:rsidRDefault="00000000">
      <w:pPr>
        <w:widowControl w:val="0"/>
        <w:spacing w:before="30" w:line="344" w:lineRule="auto"/>
        <w:ind w:left="578" w:right="-4" w:hanging="563"/>
        <w:rPr>
          <w:rFonts w:ascii="Times New Roman" w:eastAsia="Times New Roman" w:hAnsi="Times New Roman" w:cs="Times New Roman"/>
        </w:rPr>
      </w:pPr>
      <w:r>
        <w:rPr>
          <w:rFonts w:ascii="Times New Roman" w:eastAsia="Times New Roman" w:hAnsi="Times New Roman" w:cs="Times New Roman"/>
        </w:rPr>
        <w:t xml:space="preserve">Thapar, Romila. (1978). </w:t>
      </w:r>
      <w:r>
        <w:rPr>
          <w:rFonts w:ascii="Times New Roman" w:eastAsia="Times New Roman" w:hAnsi="Times New Roman" w:cs="Times New Roman"/>
          <w:i/>
        </w:rPr>
        <w:t>Ancient Indian Social History: Some Interpretations</w:t>
      </w:r>
      <w:r>
        <w:rPr>
          <w:rFonts w:ascii="Times New Roman" w:eastAsia="Times New Roman" w:hAnsi="Times New Roman" w:cs="Times New Roman"/>
        </w:rPr>
        <w:t xml:space="preserve">. India: Orient  Longman. </w:t>
      </w:r>
    </w:p>
    <w:p w14:paraId="2950B0D5" w14:textId="77777777" w:rsidR="003934E1" w:rsidRDefault="00000000">
      <w:pPr>
        <w:widowControl w:val="0"/>
        <w:spacing w:before="30" w:line="344" w:lineRule="auto"/>
        <w:ind w:left="585" w:right="-4" w:hanging="570"/>
        <w:jc w:val="both"/>
        <w:rPr>
          <w:rFonts w:ascii="Times New Roman" w:eastAsia="Times New Roman" w:hAnsi="Times New Roman" w:cs="Times New Roman"/>
          <w:color w:val="000009"/>
        </w:rPr>
      </w:pPr>
      <w:r>
        <w:rPr>
          <w:rFonts w:ascii="Times New Roman" w:eastAsia="Times New Roman" w:hAnsi="Times New Roman" w:cs="Times New Roman"/>
          <w:color w:val="000009"/>
        </w:rPr>
        <w:t xml:space="preserve">Thapar, Romila and Siddiqi Majid Hayat. (1979). ‘Chota Nagpur: the precolonial and colonial  situation’ (pp. 19-64). In </w:t>
      </w:r>
      <w:r>
        <w:rPr>
          <w:rFonts w:ascii="Times New Roman" w:eastAsia="Times New Roman" w:hAnsi="Times New Roman" w:cs="Times New Roman"/>
          <w:i/>
          <w:color w:val="000009"/>
        </w:rPr>
        <w:t>UNESCO, Trends in Ethnic Group Relations in Asia and  Oceana: Race and Society</w:t>
      </w:r>
      <w:r>
        <w:rPr>
          <w:rFonts w:ascii="Times New Roman" w:eastAsia="Times New Roman" w:hAnsi="Times New Roman" w:cs="Times New Roman"/>
          <w:color w:val="000009"/>
        </w:rPr>
        <w:t xml:space="preserve">. Paris.  </w:t>
      </w:r>
    </w:p>
    <w:p w14:paraId="179CB3F2" w14:textId="77777777" w:rsidR="003934E1" w:rsidRDefault="00000000">
      <w:pPr>
        <w:widowControl w:val="0"/>
        <w:spacing w:before="27" w:line="345" w:lineRule="auto"/>
        <w:ind w:left="11" w:right="-5" w:firstLine="3"/>
        <w:rPr>
          <w:rFonts w:ascii="Times New Roman" w:eastAsia="Times New Roman" w:hAnsi="Times New Roman" w:cs="Times New Roman"/>
        </w:rPr>
      </w:pPr>
      <w:r>
        <w:rPr>
          <w:rFonts w:ascii="Times New Roman" w:eastAsia="Times New Roman" w:hAnsi="Times New Roman" w:cs="Times New Roman"/>
        </w:rPr>
        <w:t xml:space="preserve">Trautmann, Thomas R. (1997). </w:t>
      </w:r>
      <w:r>
        <w:rPr>
          <w:rFonts w:ascii="Times New Roman" w:eastAsia="Times New Roman" w:hAnsi="Times New Roman" w:cs="Times New Roman"/>
          <w:i/>
        </w:rPr>
        <w:t>Aryans and British India</w:t>
      </w:r>
      <w:r>
        <w:rPr>
          <w:rFonts w:ascii="Times New Roman" w:eastAsia="Times New Roman" w:hAnsi="Times New Roman" w:cs="Times New Roman"/>
        </w:rPr>
        <w:t xml:space="preserve">. USA: University of California Press. </w:t>
      </w:r>
      <w:proofErr w:type="spellStart"/>
      <w:r>
        <w:rPr>
          <w:rFonts w:ascii="Times New Roman" w:eastAsia="Times New Roman" w:hAnsi="Times New Roman" w:cs="Times New Roman"/>
        </w:rPr>
        <w:t>Béteille</w:t>
      </w:r>
      <w:proofErr w:type="spellEnd"/>
      <w:r>
        <w:rPr>
          <w:rFonts w:ascii="Times New Roman" w:eastAsia="Times New Roman" w:hAnsi="Times New Roman" w:cs="Times New Roman"/>
        </w:rPr>
        <w:t xml:space="preserve">, André. (1986). ‘The Concept of Tribe with Special Reference to India.’ </w:t>
      </w:r>
      <w:r>
        <w:rPr>
          <w:rFonts w:ascii="Times New Roman" w:eastAsia="Times New Roman" w:hAnsi="Times New Roman" w:cs="Times New Roman"/>
          <w:i/>
        </w:rPr>
        <w:t xml:space="preserve">European  Journal of Sociology/Archives </w:t>
      </w:r>
      <w:proofErr w:type="spellStart"/>
      <w:r>
        <w:rPr>
          <w:rFonts w:ascii="Times New Roman" w:eastAsia="Times New Roman" w:hAnsi="Times New Roman" w:cs="Times New Roman"/>
          <w:i/>
        </w:rPr>
        <w:t>Européennes</w:t>
      </w:r>
      <w:proofErr w:type="spellEnd"/>
      <w:r>
        <w:rPr>
          <w:rFonts w:ascii="Times New Roman" w:eastAsia="Times New Roman" w:hAnsi="Times New Roman" w:cs="Times New Roman"/>
          <w:i/>
        </w:rPr>
        <w:t xml:space="preserve"> de </w:t>
      </w:r>
      <w:proofErr w:type="spellStart"/>
      <w:r>
        <w:rPr>
          <w:rFonts w:ascii="Times New Roman" w:eastAsia="Times New Roman" w:hAnsi="Times New Roman" w:cs="Times New Roman"/>
          <w:i/>
        </w:rPr>
        <w:t>Sociologie</w:t>
      </w:r>
      <w:proofErr w:type="spellEnd"/>
      <w:r>
        <w:rPr>
          <w:rFonts w:ascii="Times New Roman" w:eastAsia="Times New Roman" w:hAnsi="Times New Roman" w:cs="Times New Roman"/>
          <w:i/>
        </w:rPr>
        <w:t>/</w:t>
      </w:r>
      <w:proofErr w:type="spellStart"/>
      <w:r>
        <w:rPr>
          <w:rFonts w:ascii="Times New Roman" w:eastAsia="Times New Roman" w:hAnsi="Times New Roman" w:cs="Times New Roman"/>
          <w:i/>
        </w:rPr>
        <w:t>Europäisches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Archiv</w:t>
      </w:r>
      <w:proofErr w:type="spellEnd"/>
      <w:r>
        <w:rPr>
          <w:rFonts w:ascii="Times New Roman" w:eastAsia="Times New Roman" w:hAnsi="Times New Roman" w:cs="Times New Roman"/>
          <w:i/>
        </w:rPr>
        <w:t xml:space="preserve"> Für  </w:t>
      </w:r>
      <w:proofErr w:type="spellStart"/>
      <w:r>
        <w:rPr>
          <w:rFonts w:ascii="Times New Roman" w:eastAsia="Times New Roman" w:hAnsi="Times New Roman" w:cs="Times New Roman"/>
          <w:i/>
        </w:rPr>
        <w:t>Soziologie</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27 (2), 297-318. </w:t>
      </w:r>
      <w:r>
        <w:rPr>
          <w:rFonts w:ascii="Times New Roman" w:eastAsia="Times New Roman" w:hAnsi="Times New Roman" w:cs="Times New Roman"/>
          <w:color w:val="0563C1"/>
          <w:u w:val="single"/>
        </w:rPr>
        <w:t>http://www.jstor.org/stable/23999264</w:t>
      </w:r>
      <w:r>
        <w:rPr>
          <w:rFonts w:ascii="Times New Roman" w:eastAsia="Times New Roman" w:hAnsi="Times New Roman" w:cs="Times New Roman"/>
        </w:rPr>
        <w:t xml:space="preserve">. </w:t>
      </w:r>
    </w:p>
    <w:p w14:paraId="71B01936" w14:textId="77777777" w:rsidR="003934E1" w:rsidRDefault="00000000">
      <w:pPr>
        <w:widowControl w:val="0"/>
        <w:spacing w:before="27" w:line="344" w:lineRule="auto"/>
        <w:ind w:left="566" w:right="-3" w:hanging="543"/>
        <w:jc w:val="both"/>
        <w:rPr>
          <w:rFonts w:ascii="Times New Roman" w:eastAsia="Times New Roman" w:hAnsi="Times New Roman" w:cs="Times New Roman"/>
        </w:rPr>
      </w:pPr>
      <w:r>
        <w:rPr>
          <w:rFonts w:ascii="Times New Roman" w:eastAsia="Times New Roman" w:hAnsi="Times New Roman" w:cs="Times New Roman"/>
        </w:rPr>
        <w:t xml:space="preserve">Sarkar, Tanika. (2011). ‘Rebellion as Modern Self‐Fashioning: A Santal Movement in Colonial  Bengal’ (pp. 65-81). In D.J. Rycroft and S. Dasgupta eds. </w:t>
      </w:r>
      <w:r>
        <w:rPr>
          <w:rFonts w:ascii="Times New Roman" w:eastAsia="Times New Roman" w:hAnsi="Times New Roman" w:cs="Times New Roman"/>
          <w:i/>
        </w:rPr>
        <w:t>The Politics of Belonging in  India: Becoming Adivasi</w:t>
      </w:r>
      <w:r>
        <w:rPr>
          <w:rFonts w:ascii="Times New Roman" w:eastAsia="Times New Roman" w:hAnsi="Times New Roman" w:cs="Times New Roman"/>
        </w:rPr>
        <w:t>. Abingdon: Routledge.</w:t>
      </w:r>
    </w:p>
    <w:p w14:paraId="0BC425B4" w14:textId="77777777" w:rsidR="003934E1" w:rsidRDefault="00000000">
      <w:pPr>
        <w:widowControl w:val="0"/>
        <w:ind w:right="53"/>
        <w:jc w:val="right"/>
        <w:rPr>
          <w:rFonts w:ascii="Times New Roman" w:eastAsia="Times New Roman" w:hAnsi="Times New Roman" w:cs="Times New Roman"/>
          <w:sz w:val="19"/>
          <w:szCs w:val="19"/>
        </w:rPr>
      </w:pPr>
      <w:r>
        <w:rPr>
          <w:rFonts w:ascii="Times New Roman" w:eastAsia="Times New Roman" w:hAnsi="Times New Roman" w:cs="Times New Roman"/>
          <w:sz w:val="19"/>
          <w:szCs w:val="19"/>
        </w:rPr>
        <w:lastRenderedPageBreak/>
        <w:t xml:space="preserve">24 </w:t>
      </w:r>
    </w:p>
    <w:p w14:paraId="7EE7323E" w14:textId="77777777" w:rsidR="003934E1" w:rsidRDefault="00000000">
      <w:pPr>
        <w:widowControl w:val="0"/>
        <w:ind w:left="11"/>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EPISTEMOLOGIES OF REBELLION </w:t>
      </w:r>
    </w:p>
    <w:p w14:paraId="067F7C26" w14:textId="77777777" w:rsidR="003934E1" w:rsidRDefault="00000000">
      <w:pPr>
        <w:widowControl w:val="0"/>
        <w:spacing w:before="579" w:line="344" w:lineRule="auto"/>
        <w:ind w:left="10" w:right="-2" w:firstLine="11"/>
        <w:rPr>
          <w:rFonts w:ascii="Times New Roman" w:eastAsia="Times New Roman" w:hAnsi="Times New Roman" w:cs="Times New Roman"/>
        </w:rPr>
      </w:pPr>
      <w:r>
        <w:rPr>
          <w:rFonts w:ascii="Times New Roman" w:eastAsia="Times New Roman" w:hAnsi="Times New Roman" w:cs="Times New Roman"/>
        </w:rPr>
        <w:t xml:space="preserve">Shah, Alpa. (2014). ‘Religion and the Secular Left: Subaltern Studies, Birsa Munda and  Maoists.’ In </w:t>
      </w:r>
      <w:r>
        <w:rPr>
          <w:rFonts w:ascii="Times New Roman" w:eastAsia="Times New Roman" w:hAnsi="Times New Roman" w:cs="Times New Roman"/>
          <w:i/>
        </w:rPr>
        <w:t xml:space="preserve">Anthropology of this Century </w:t>
      </w:r>
      <w:r>
        <w:rPr>
          <w:rFonts w:ascii="Times New Roman" w:eastAsia="Times New Roman" w:hAnsi="Times New Roman" w:cs="Times New Roman"/>
        </w:rPr>
        <w:t>(</w:t>
      </w:r>
      <w:r>
        <w:rPr>
          <w:rFonts w:ascii="Times New Roman" w:eastAsia="Times New Roman" w:hAnsi="Times New Roman" w:cs="Times New Roman"/>
          <w:i/>
          <w:color w:val="0563C1"/>
          <w:u w:val="single"/>
        </w:rPr>
        <w:t>http://aotcpress.com/author/alpa-shah</w:t>
      </w:r>
      <w:r>
        <w:rPr>
          <w:rFonts w:ascii="Times New Roman" w:eastAsia="Times New Roman" w:hAnsi="Times New Roman" w:cs="Times New Roman"/>
        </w:rPr>
        <w:t>).  Srinivas, M. N. (1976). ‘</w:t>
      </w:r>
      <w:proofErr w:type="spellStart"/>
      <w:r>
        <w:rPr>
          <w:rFonts w:ascii="Times New Roman" w:eastAsia="Times New Roman" w:hAnsi="Times New Roman" w:cs="Times New Roman"/>
        </w:rPr>
        <w:t>Sanskritisation</w:t>
      </w:r>
      <w:proofErr w:type="spellEnd"/>
      <w:r>
        <w:rPr>
          <w:rFonts w:ascii="Times New Roman" w:eastAsia="Times New Roman" w:hAnsi="Times New Roman" w:cs="Times New Roman"/>
        </w:rPr>
        <w:t xml:space="preserve">: The Processes of Social Change in India’ (pp. 1-28). In </w:t>
      </w:r>
      <w:r>
        <w:rPr>
          <w:rFonts w:ascii="Times New Roman" w:eastAsia="Times New Roman" w:hAnsi="Times New Roman" w:cs="Times New Roman"/>
          <w:i/>
        </w:rPr>
        <w:t>Caste in Modern India and Other Essays</w:t>
      </w:r>
      <w:r>
        <w:rPr>
          <w:rFonts w:ascii="Times New Roman" w:eastAsia="Times New Roman" w:hAnsi="Times New Roman" w:cs="Times New Roman"/>
        </w:rPr>
        <w:t xml:space="preserve">. Delhi: Oxford University Press. Wolf, Eric R. (1982). </w:t>
      </w:r>
      <w:r>
        <w:rPr>
          <w:rFonts w:ascii="Times New Roman" w:eastAsia="Times New Roman" w:hAnsi="Times New Roman" w:cs="Times New Roman"/>
          <w:i/>
        </w:rPr>
        <w:t>Europe and the People Without History</w:t>
      </w:r>
      <w:r>
        <w:rPr>
          <w:rFonts w:ascii="Times New Roman" w:eastAsia="Times New Roman" w:hAnsi="Times New Roman" w:cs="Times New Roman"/>
        </w:rPr>
        <w:t xml:space="preserve">. Berkeley: University of  California Press. </w:t>
      </w:r>
    </w:p>
    <w:p w14:paraId="63CA6870" w14:textId="77777777" w:rsidR="003934E1" w:rsidRDefault="00000000">
      <w:pPr>
        <w:widowControl w:val="0"/>
        <w:spacing w:before="30" w:line="343" w:lineRule="auto"/>
        <w:ind w:left="583" w:right="-5" w:hanging="574"/>
        <w:rPr>
          <w:rFonts w:ascii="Times New Roman" w:eastAsia="Times New Roman" w:hAnsi="Times New Roman" w:cs="Times New Roman"/>
        </w:rPr>
      </w:pPr>
      <w:proofErr w:type="spellStart"/>
      <w:r>
        <w:rPr>
          <w:rFonts w:ascii="Times New Roman" w:eastAsia="Times New Roman" w:hAnsi="Times New Roman" w:cs="Times New Roman"/>
        </w:rPr>
        <w:t>Xaxa</w:t>
      </w:r>
      <w:proofErr w:type="spellEnd"/>
      <w:r>
        <w:rPr>
          <w:rFonts w:ascii="Times New Roman" w:eastAsia="Times New Roman" w:hAnsi="Times New Roman" w:cs="Times New Roman"/>
        </w:rPr>
        <w:t xml:space="preserve">, V. (1999). ‘Tribes as Indigenous People of India.’ </w:t>
      </w:r>
      <w:r>
        <w:rPr>
          <w:rFonts w:ascii="Times New Roman" w:eastAsia="Times New Roman" w:hAnsi="Times New Roman" w:cs="Times New Roman"/>
          <w:i/>
        </w:rPr>
        <w:t xml:space="preserve">Economic and Political Weekly </w:t>
      </w:r>
      <w:r>
        <w:rPr>
          <w:rFonts w:ascii="Times New Roman" w:eastAsia="Times New Roman" w:hAnsi="Times New Roman" w:cs="Times New Roman"/>
        </w:rPr>
        <w:t xml:space="preserve">34  (51). December 18‐24, 3589-3595. </w:t>
      </w:r>
    </w:p>
    <w:p w14:paraId="67157816" w14:textId="77777777" w:rsidR="003934E1" w:rsidRDefault="00000000">
      <w:pPr>
        <w:widowControl w:val="0"/>
        <w:spacing w:before="583"/>
        <w:ind w:left="14"/>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Unpublished Works </w:t>
      </w:r>
    </w:p>
    <w:p w14:paraId="3DACD74F" w14:textId="77777777" w:rsidR="003934E1" w:rsidRDefault="00000000">
      <w:pPr>
        <w:widowControl w:val="0"/>
        <w:spacing w:before="394" w:line="344" w:lineRule="auto"/>
        <w:ind w:left="579" w:right="-5" w:hanging="567"/>
        <w:jc w:val="both"/>
        <w:rPr>
          <w:rFonts w:ascii="Times New Roman" w:eastAsia="Times New Roman" w:hAnsi="Times New Roman" w:cs="Times New Roman"/>
        </w:rPr>
      </w:pPr>
      <w:r>
        <w:rPr>
          <w:rFonts w:ascii="Times New Roman" w:eastAsia="Times New Roman" w:hAnsi="Times New Roman" w:cs="Times New Roman"/>
        </w:rPr>
        <w:t xml:space="preserve">Bara, Joseph. (2002). </w:t>
      </w:r>
      <w:r>
        <w:rPr>
          <w:rFonts w:ascii="Times New Roman" w:eastAsia="Times New Roman" w:hAnsi="Times New Roman" w:cs="Times New Roman"/>
          <w:i/>
        </w:rPr>
        <w:t xml:space="preserve">Modern Education and the Rise of Self-Identity Among the </w:t>
      </w:r>
      <w:proofErr w:type="spellStart"/>
      <w:r>
        <w:rPr>
          <w:rFonts w:ascii="Times New Roman" w:eastAsia="Times New Roman" w:hAnsi="Times New Roman" w:cs="Times New Roman"/>
          <w:i/>
        </w:rPr>
        <w:t>Mundas</w:t>
      </w:r>
      <w:proofErr w:type="spellEnd"/>
      <w:r>
        <w:rPr>
          <w:rFonts w:ascii="Times New Roman" w:eastAsia="Times New Roman" w:hAnsi="Times New Roman" w:cs="Times New Roman"/>
          <w:i/>
        </w:rPr>
        <w:t xml:space="preserve"> and  </w:t>
      </w:r>
      <w:proofErr w:type="spellStart"/>
      <w:r>
        <w:rPr>
          <w:rFonts w:ascii="Times New Roman" w:eastAsia="Times New Roman" w:hAnsi="Times New Roman" w:cs="Times New Roman"/>
          <w:i/>
        </w:rPr>
        <w:t>Oraons</w:t>
      </w:r>
      <w:proofErr w:type="spellEnd"/>
      <w:r>
        <w:rPr>
          <w:rFonts w:ascii="Times New Roman" w:eastAsia="Times New Roman" w:hAnsi="Times New Roman" w:cs="Times New Roman"/>
          <w:i/>
        </w:rPr>
        <w:t xml:space="preserve"> of </w:t>
      </w:r>
      <w:proofErr w:type="spellStart"/>
      <w:r>
        <w:rPr>
          <w:rFonts w:ascii="Times New Roman" w:eastAsia="Times New Roman" w:hAnsi="Times New Roman" w:cs="Times New Roman"/>
          <w:i/>
        </w:rPr>
        <w:t>Chhotanagpur</w:t>
      </w:r>
      <w:proofErr w:type="spellEnd"/>
      <w:r>
        <w:rPr>
          <w:rFonts w:ascii="Times New Roman" w:eastAsia="Times New Roman" w:hAnsi="Times New Roman" w:cs="Times New Roman"/>
          <w:i/>
        </w:rPr>
        <w:t xml:space="preserve">, 1839-1947 </w:t>
      </w:r>
      <w:r>
        <w:rPr>
          <w:rFonts w:ascii="Times New Roman" w:eastAsia="Times New Roman" w:hAnsi="Times New Roman" w:cs="Times New Roman"/>
        </w:rPr>
        <w:t xml:space="preserve">(Unpublished doctoral dissertation). Department of  Education, University of Delhi. </w:t>
      </w:r>
    </w:p>
    <w:p w14:paraId="2ACCBA15" w14:textId="77777777" w:rsidR="003934E1" w:rsidRDefault="00000000">
      <w:pPr>
        <w:widowControl w:val="0"/>
        <w:spacing w:before="30" w:line="344" w:lineRule="auto"/>
        <w:ind w:left="568" w:right="-4" w:hanging="556"/>
        <w:jc w:val="both"/>
        <w:rPr>
          <w:rFonts w:ascii="Times New Roman" w:eastAsia="Times New Roman" w:hAnsi="Times New Roman" w:cs="Times New Roman"/>
        </w:rPr>
      </w:pPr>
      <w:r>
        <w:rPr>
          <w:rFonts w:ascii="Times New Roman" w:eastAsia="Times New Roman" w:hAnsi="Times New Roman" w:cs="Times New Roman"/>
        </w:rPr>
        <w:t xml:space="preserve">Bara, Anubhuti Agnes. (2018). </w:t>
      </w:r>
      <w:r>
        <w:rPr>
          <w:rFonts w:ascii="Times New Roman" w:eastAsia="Times New Roman" w:hAnsi="Times New Roman" w:cs="Times New Roman"/>
          <w:i/>
        </w:rPr>
        <w:t xml:space="preserve">Scheduling Tribes in Central India: Tribal Resistance and the  Role of the State with Special Reference to </w:t>
      </w:r>
      <w:proofErr w:type="spellStart"/>
      <w:r>
        <w:rPr>
          <w:rFonts w:ascii="Times New Roman" w:eastAsia="Times New Roman" w:hAnsi="Times New Roman" w:cs="Times New Roman"/>
          <w:i/>
        </w:rPr>
        <w:t>Chhotanagpur</w:t>
      </w:r>
      <w:proofErr w:type="spellEnd"/>
      <w:r>
        <w:rPr>
          <w:rFonts w:ascii="Times New Roman" w:eastAsia="Times New Roman" w:hAnsi="Times New Roman" w:cs="Times New Roman"/>
          <w:i/>
        </w:rPr>
        <w:t xml:space="preserve"> and Central Provinces, c.  1830-1949 </w:t>
      </w:r>
      <w:r>
        <w:rPr>
          <w:rFonts w:ascii="Times New Roman" w:eastAsia="Times New Roman" w:hAnsi="Times New Roman" w:cs="Times New Roman"/>
        </w:rPr>
        <w:t xml:space="preserve">(Unpublished doctoral dissertation). Centre for Historical Studies, Jawaharlal  Nehru University, New Delhi. </w:t>
      </w:r>
    </w:p>
    <w:p w14:paraId="0B0B7CF1" w14:textId="77777777" w:rsidR="003934E1" w:rsidRDefault="00000000">
      <w:pPr>
        <w:widowControl w:val="0"/>
        <w:spacing w:before="28" w:line="344" w:lineRule="auto"/>
        <w:ind w:left="589" w:right="-3" w:hanging="577"/>
        <w:jc w:val="both"/>
        <w:rPr>
          <w:rFonts w:ascii="Times New Roman" w:eastAsia="Times New Roman" w:hAnsi="Times New Roman" w:cs="Times New Roman"/>
        </w:rPr>
      </w:pPr>
      <w:r>
        <w:rPr>
          <w:rFonts w:ascii="Times New Roman" w:eastAsia="Times New Roman" w:hAnsi="Times New Roman" w:cs="Times New Roman"/>
        </w:rPr>
        <w:t xml:space="preserve">Bara, Anubhuti Agnes. (2014). </w:t>
      </w:r>
      <w:r>
        <w:rPr>
          <w:rFonts w:ascii="Times New Roman" w:eastAsia="Times New Roman" w:hAnsi="Times New Roman" w:cs="Times New Roman"/>
          <w:i/>
        </w:rPr>
        <w:t xml:space="preserve">Prejudiced Enumeration: Tribes and Politics of Census in  </w:t>
      </w:r>
      <w:proofErr w:type="spellStart"/>
      <w:r>
        <w:rPr>
          <w:rFonts w:ascii="Times New Roman" w:eastAsia="Times New Roman" w:hAnsi="Times New Roman" w:cs="Times New Roman"/>
          <w:i/>
        </w:rPr>
        <w:t>Chhotanagpur</w:t>
      </w:r>
      <w:proofErr w:type="spellEnd"/>
      <w:r>
        <w:rPr>
          <w:rFonts w:ascii="Times New Roman" w:eastAsia="Times New Roman" w:hAnsi="Times New Roman" w:cs="Times New Roman"/>
          <w:i/>
        </w:rPr>
        <w:t xml:space="preserve">, 1872-1951 </w:t>
      </w:r>
      <w:r>
        <w:rPr>
          <w:rFonts w:ascii="Times New Roman" w:eastAsia="Times New Roman" w:hAnsi="Times New Roman" w:cs="Times New Roman"/>
        </w:rPr>
        <w:t xml:space="preserve">(Unpublished M.Phil. dissertation). Centre for Historical  Studies, Jawaharlal Nehru University, New Delhi.  </w:t>
      </w:r>
    </w:p>
    <w:p w14:paraId="52C4DDB3" w14:textId="77777777" w:rsidR="003934E1" w:rsidRDefault="00000000">
      <w:pPr>
        <w:widowControl w:val="0"/>
        <w:spacing w:before="546"/>
        <w:ind w:left="13"/>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Lectures/Speeches </w:t>
      </w:r>
    </w:p>
    <w:p w14:paraId="657A060D" w14:textId="77777777" w:rsidR="003934E1" w:rsidRDefault="00000000">
      <w:pPr>
        <w:widowControl w:val="0"/>
        <w:spacing w:before="233" w:line="344" w:lineRule="auto"/>
        <w:ind w:left="567" w:right="-4" w:hanging="550"/>
        <w:rPr>
          <w:rFonts w:ascii="Times New Roman" w:eastAsia="Times New Roman" w:hAnsi="Times New Roman" w:cs="Times New Roman"/>
        </w:rPr>
      </w:pPr>
      <w:r>
        <w:rPr>
          <w:rFonts w:ascii="Times New Roman" w:eastAsia="Times New Roman" w:hAnsi="Times New Roman" w:cs="Times New Roman"/>
        </w:rPr>
        <w:t xml:space="preserve">Chakraborty, </w:t>
      </w:r>
      <w:proofErr w:type="spellStart"/>
      <w:r>
        <w:rPr>
          <w:rFonts w:ascii="Times New Roman" w:eastAsia="Times New Roman" w:hAnsi="Times New Roman" w:cs="Times New Roman"/>
        </w:rPr>
        <w:t>Amitayu</w:t>
      </w:r>
      <w:proofErr w:type="spellEnd"/>
      <w:r>
        <w:rPr>
          <w:rFonts w:ascii="Times New Roman" w:eastAsia="Times New Roman" w:hAnsi="Times New Roman" w:cs="Times New Roman"/>
        </w:rPr>
        <w:t xml:space="preserve">. (2025, March, 26-28). </w:t>
      </w:r>
      <w:r>
        <w:rPr>
          <w:rFonts w:ascii="Times New Roman" w:eastAsia="Times New Roman" w:hAnsi="Times New Roman" w:cs="Times New Roman"/>
          <w:i/>
        </w:rPr>
        <w:t xml:space="preserve">Scope and Objectives of the Seminar </w:t>
      </w:r>
      <w:r>
        <w:rPr>
          <w:rFonts w:ascii="Times New Roman" w:eastAsia="Times New Roman" w:hAnsi="Times New Roman" w:cs="Times New Roman"/>
        </w:rPr>
        <w:t xml:space="preserve">[Keynote  address]. International Seminar Sponsored by Indian Council of Social Science Research (ICSSR), </w:t>
      </w:r>
      <w:r>
        <w:rPr>
          <w:rFonts w:ascii="Times New Roman" w:eastAsia="Times New Roman" w:hAnsi="Times New Roman" w:cs="Times New Roman"/>
          <w:i/>
        </w:rPr>
        <w:t xml:space="preserve">‘Envisioning </w:t>
      </w:r>
      <w:proofErr w:type="spellStart"/>
      <w:r>
        <w:rPr>
          <w:rFonts w:ascii="Times New Roman" w:eastAsia="Times New Roman" w:hAnsi="Times New Roman" w:cs="Times New Roman"/>
          <w:i/>
        </w:rPr>
        <w:t>Janjatiya</w:t>
      </w:r>
      <w:proofErr w:type="spellEnd"/>
      <w:r>
        <w:rPr>
          <w:rFonts w:ascii="Times New Roman" w:eastAsia="Times New Roman" w:hAnsi="Times New Roman" w:cs="Times New Roman"/>
          <w:i/>
        </w:rPr>
        <w:t xml:space="preserve"> Gaurav: The Legacy of Birsa Munda and the  Decolonisation of “Global” Indigenous Studies</w:t>
      </w:r>
      <w:r>
        <w:rPr>
          <w:rFonts w:ascii="Times New Roman" w:eastAsia="Times New Roman" w:hAnsi="Times New Roman" w:cs="Times New Roman"/>
        </w:rPr>
        <w:t>.</w:t>
      </w:r>
      <w:r>
        <w:rPr>
          <w:rFonts w:ascii="Times New Roman" w:eastAsia="Times New Roman" w:hAnsi="Times New Roman" w:cs="Times New Roman"/>
          <w:i/>
        </w:rPr>
        <w:t xml:space="preserve">’ </w:t>
      </w:r>
      <w:r>
        <w:rPr>
          <w:rFonts w:ascii="Times New Roman" w:eastAsia="Times New Roman" w:hAnsi="Times New Roman" w:cs="Times New Roman"/>
        </w:rPr>
        <w:t xml:space="preserve">Durgapur Women’s College, Durgapur, West Bengal. </w:t>
      </w:r>
    </w:p>
    <w:p w14:paraId="1546FB64" w14:textId="77777777" w:rsidR="003934E1" w:rsidRDefault="003934E1">
      <w:pPr>
        <w:spacing w:after="160" w:line="360" w:lineRule="auto"/>
        <w:jc w:val="both"/>
        <w:rPr>
          <w:rFonts w:ascii="Times New Roman" w:eastAsia="Times New Roman" w:hAnsi="Times New Roman" w:cs="Times New Roman"/>
        </w:rPr>
      </w:pPr>
    </w:p>
    <w:p w14:paraId="5F26D68F" w14:textId="77777777" w:rsidR="003934E1" w:rsidRDefault="003934E1">
      <w:pPr>
        <w:spacing w:before="280" w:after="280" w:line="360" w:lineRule="auto"/>
        <w:jc w:val="both"/>
        <w:rPr>
          <w:rFonts w:ascii="Times New Roman" w:eastAsia="Times New Roman" w:hAnsi="Times New Roman" w:cs="Times New Roman"/>
        </w:rPr>
      </w:pPr>
    </w:p>
    <w:p w14:paraId="700224BB" w14:textId="77777777" w:rsidR="003934E1" w:rsidRDefault="003934E1">
      <w:pPr>
        <w:spacing w:before="280" w:after="280" w:line="360" w:lineRule="auto"/>
        <w:jc w:val="both"/>
        <w:rPr>
          <w:rFonts w:ascii="Times New Roman" w:eastAsia="Times New Roman" w:hAnsi="Times New Roman" w:cs="Times New Roman"/>
        </w:rPr>
      </w:pPr>
    </w:p>
    <w:p w14:paraId="1D4812A5" w14:textId="77777777" w:rsidR="003934E1" w:rsidRDefault="003934E1">
      <w:pPr>
        <w:spacing w:before="280" w:after="280" w:line="360" w:lineRule="auto"/>
        <w:jc w:val="both"/>
        <w:rPr>
          <w:rFonts w:ascii="Times New Roman" w:eastAsia="Times New Roman" w:hAnsi="Times New Roman" w:cs="Times New Roman"/>
        </w:rPr>
      </w:pPr>
    </w:p>
    <w:p w14:paraId="71000F64" w14:textId="77777777" w:rsidR="003934E1" w:rsidRDefault="00000000">
      <w:pPr>
        <w:spacing w:after="160" w:line="259" w:lineRule="auto"/>
        <w:ind w:firstLine="720"/>
        <w:rPr>
          <w:rFonts w:ascii="Times New Roman" w:eastAsia="Times New Roman" w:hAnsi="Times New Roman" w:cs="Times New Roman"/>
          <w:b/>
          <w:sz w:val="28"/>
          <w:szCs w:val="28"/>
        </w:rPr>
      </w:pPr>
      <w:r>
        <w:rPr>
          <w:rFonts w:ascii="Times New Roman" w:eastAsia="Times New Roman" w:hAnsi="Times New Roman" w:cs="Times New Roman"/>
          <w:b/>
          <w:sz w:val="28"/>
          <w:szCs w:val="28"/>
        </w:rPr>
        <w:t>Weaving the Nation: The Tribal Thread in India’s Past</w:t>
      </w:r>
    </w:p>
    <w:p w14:paraId="2A5B6C29" w14:textId="77777777" w:rsidR="003934E1" w:rsidRDefault="003934E1">
      <w:pPr>
        <w:spacing w:after="160" w:line="259" w:lineRule="auto"/>
        <w:ind w:firstLine="720"/>
        <w:rPr>
          <w:rFonts w:ascii="Times New Roman" w:eastAsia="Times New Roman" w:hAnsi="Times New Roman" w:cs="Times New Roman"/>
          <w:b/>
          <w:sz w:val="28"/>
          <w:szCs w:val="28"/>
        </w:rPr>
      </w:pPr>
    </w:p>
    <w:p w14:paraId="10512BE7"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b/>
        </w:rPr>
        <w:t>Author:</w:t>
      </w:r>
      <w:r>
        <w:rPr>
          <w:rFonts w:ascii="Times New Roman" w:eastAsia="Times New Roman" w:hAnsi="Times New Roman" w:cs="Times New Roman"/>
        </w:rPr>
        <w:t xml:space="preserve"> Gopal Kumar</w:t>
      </w:r>
      <w:r>
        <w:rPr>
          <w:rFonts w:ascii="Times New Roman" w:eastAsia="Times New Roman" w:hAnsi="Times New Roman" w:cs="Times New Roman"/>
        </w:rPr>
        <w:br/>
      </w:r>
      <w:r>
        <w:rPr>
          <w:rFonts w:ascii="Times New Roman" w:eastAsia="Times New Roman" w:hAnsi="Times New Roman" w:cs="Times New Roman"/>
          <w:b/>
        </w:rPr>
        <w:t>Affiliation:</w:t>
      </w:r>
      <w:r>
        <w:rPr>
          <w:rFonts w:ascii="Times New Roman" w:eastAsia="Times New Roman" w:hAnsi="Times New Roman" w:cs="Times New Roman"/>
        </w:rPr>
        <w:t xml:space="preserve"> Centre for Integrated Studies, Hyderabad Central University</w:t>
      </w:r>
      <w:r>
        <w:rPr>
          <w:rFonts w:ascii="Times New Roman" w:eastAsia="Times New Roman" w:hAnsi="Times New Roman" w:cs="Times New Roman"/>
        </w:rPr>
        <w:br/>
      </w:r>
      <w:r>
        <w:rPr>
          <w:rFonts w:ascii="Times New Roman" w:eastAsia="Times New Roman" w:hAnsi="Times New Roman" w:cs="Times New Roman"/>
          <w:b/>
        </w:rPr>
        <w:t>Mobile:</w:t>
      </w:r>
      <w:r>
        <w:rPr>
          <w:rFonts w:ascii="Times New Roman" w:eastAsia="Times New Roman" w:hAnsi="Times New Roman" w:cs="Times New Roman"/>
        </w:rPr>
        <w:t xml:space="preserve"> 8862988107</w:t>
      </w:r>
      <w:r>
        <w:rPr>
          <w:rFonts w:ascii="Times New Roman" w:eastAsia="Times New Roman" w:hAnsi="Times New Roman" w:cs="Times New Roman"/>
        </w:rPr>
        <w:br/>
      </w:r>
      <w:r>
        <w:rPr>
          <w:rFonts w:ascii="Times New Roman" w:eastAsia="Times New Roman" w:hAnsi="Times New Roman" w:cs="Times New Roman"/>
          <w:b/>
        </w:rPr>
        <w:t>Email:</w:t>
      </w:r>
      <w:r>
        <w:rPr>
          <w:rFonts w:ascii="Times New Roman" w:eastAsia="Times New Roman" w:hAnsi="Times New Roman" w:cs="Times New Roman"/>
        </w:rPr>
        <w:t xml:space="preserve"> </w:t>
      </w:r>
      <w:hyperlink r:id="rId98">
        <w:r w:rsidR="003934E1">
          <w:rPr>
            <w:rFonts w:ascii="Times New Roman" w:eastAsia="Times New Roman" w:hAnsi="Times New Roman" w:cs="Times New Roman"/>
            <w:color w:val="0563C1"/>
            <w:u w:val="single"/>
          </w:rPr>
          <w:t>gopalkumarmahto9955@gmail.com</w:t>
        </w:r>
      </w:hyperlink>
    </w:p>
    <w:p w14:paraId="150DE994"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b/>
        </w:rPr>
        <w:t>Co-author:</w:t>
      </w:r>
      <w:r>
        <w:rPr>
          <w:rFonts w:ascii="Times New Roman" w:eastAsia="Times New Roman" w:hAnsi="Times New Roman" w:cs="Times New Roman"/>
        </w:rPr>
        <w:t xml:space="preserve"> Sanskriti Singh</w:t>
      </w:r>
      <w:r>
        <w:rPr>
          <w:rFonts w:ascii="Times New Roman" w:eastAsia="Times New Roman" w:hAnsi="Times New Roman" w:cs="Times New Roman"/>
        </w:rPr>
        <w:br/>
      </w:r>
      <w:r>
        <w:rPr>
          <w:rFonts w:ascii="Times New Roman" w:eastAsia="Times New Roman" w:hAnsi="Times New Roman" w:cs="Times New Roman"/>
          <w:b/>
        </w:rPr>
        <w:t>Affiliation:</w:t>
      </w:r>
      <w:r>
        <w:rPr>
          <w:rFonts w:ascii="Times New Roman" w:eastAsia="Times New Roman" w:hAnsi="Times New Roman" w:cs="Times New Roman"/>
        </w:rPr>
        <w:t xml:space="preserve"> Department of Social Work, Central University of Jammu</w:t>
      </w:r>
      <w:r>
        <w:rPr>
          <w:rFonts w:ascii="Times New Roman" w:eastAsia="Times New Roman" w:hAnsi="Times New Roman" w:cs="Times New Roman"/>
        </w:rPr>
        <w:br/>
      </w:r>
      <w:r>
        <w:rPr>
          <w:rFonts w:ascii="Times New Roman" w:eastAsia="Times New Roman" w:hAnsi="Times New Roman" w:cs="Times New Roman"/>
          <w:b/>
        </w:rPr>
        <w:t>Mobile:</w:t>
      </w:r>
      <w:r>
        <w:rPr>
          <w:rFonts w:ascii="Times New Roman" w:eastAsia="Times New Roman" w:hAnsi="Times New Roman" w:cs="Times New Roman"/>
        </w:rPr>
        <w:t xml:space="preserve"> 8409732134</w:t>
      </w:r>
      <w:r>
        <w:rPr>
          <w:rFonts w:ascii="Times New Roman" w:eastAsia="Times New Roman" w:hAnsi="Times New Roman" w:cs="Times New Roman"/>
        </w:rPr>
        <w:br/>
      </w:r>
      <w:r>
        <w:rPr>
          <w:rFonts w:ascii="Times New Roman" w:eastAsia="Times New Roman" w:hAnsi="Times New Roman" w:cs="Times New Roman"/>
          <w:b/>
        </w:rPr>
        <w:t>Email:</w:t>
      </w:r>
      <w:r>
        <w:rPr>
          <w:rFonts w:ascii="Times New Roman" w:eastAsia="Times New Roman" w:hAnsi="Times New Roman" w:cs="Times New Roman"/>
        </w:rPr>
        <w:t xml:space="preserve"> </w:t>
      </w:r>
      <w:hyperlink r:id="rId99">
        <w:r w:rsidR="003934E1">
          <w:rPr>
            <w:rFonts w:ascii="Times New Roman" w:eastAsia="Times New Roman" w:hAnsi="Times New Roman" w:cs="Times New Roman"/>
            <w:color w:val="0563C1"/>
            <w:u w:val="single"/>
          </w:rPr>
          <w:t>1406riyasingh@gmail.com</w:t>
        </w:r>
      </w:hyperlink>
    </w:p>
    <w:p w14:paraId="51C69022" w14:textId="77777777" w:rsidR="003934E1" w:rsidRDefault="003934E1">
      <w:pPr>
        <w:spacing w:after="160" w:line="259" w:lineRule="auto"/>
        <w:rPr>
          <w:rFonts w:ascii="Times New Roman" w:eastAsia="Times New Roman" w:hAnsi="Times New Roman" w:cs="Times New Roman"/>
          <w:sz w:val="22"/>
          <w:szCs w:val="22"/>
        </w:rPr>
      </w:pPr>
    </w:p>
    <w:p w14:paraId="49943920" w14:textId="77777777" w:rsidR="003934E1"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Abstract</w:t>
      </w:r>
    </w:p>
    <w:p w14:paraId="5660531F"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This study explores how Indian tribes have woven the fabric of India’s historical past, emphasizing their resilience, cultural depth, and pivotal roles in shaping the nation. Often overshadowed, tribal communities have been key players in resisting colonial domination and preserving indigenous heritage. The research highlights the contributions of Jharkhand’s tribal leaders like Birsa Munda and </w:t>
      </w:r>
      <w:proofErr w:type="spellStart"/>
      <w:r>
        <w:rPr>
          <w:rFonts w:ascii="Times New Roman" w:eastAsia="Times New Roman" w:hAnsi="Times New Roman" w:cs="Times New Roman"/>
        </w:rPr>
        <w:t>Sidho-Kanho</w:t>
      </w:r>
      <w:proofErr w:type="spellEnd"/>
      <w:r>
        <w:rPr>
          <w:rFonts w:ascii="Times New Roman" w:eastAsia="Times New Roman" w:hAnsi="Times New Roman" w:cs="Times New Roman"/>
        </w:rPr>
        <w:t xml:space="preserve"> of the Santhal tribe, alongside the Gond tribe in Madhya Pradesh and the Naga resistance in Nagaland. These examples illustrate the tribal thread that strengthens India’s national narrative, deserving a prominent place in history.</w:t>
      </w:r>
    </w:p>
    <w:p w14:paraId="4861A593"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The study employs a qualitative approach, integrating historical archival research with oral testimonies. Over 70 interviews were conducted with tribal elders from Jharkhand, Madhya Pradesh, and Nagaland between March and April 2025, capturing firsthand accounts of their ancestors’ struggles. This was supplemented by </w:t>
      </w:r>
      <w:proofErr w:type="spellStart"/>
      <w:r>
        <w:rPr>
          <w:rFonts w:ascii="Times New Roman" w:eastAsia="Times New Roman" w:hAnsi="Times New Roman" w:cs="Times New Roman"/>
        </w:rPr>
        <w:t>analyzing</w:t>
      </w:r>
      <w:proofErr w:type="spellEnd"/>
      <w:r>
        <w:rPr>
          <w:rFonts w:ascii="Times New Roman" w:eastAsia="Times New Roman" w:hAnsi="Times New Roman" w:cs="Times New Roman"/>
        </w:rPr>
        <w:t xml:space="preserve"> 30 documents from the National Archives and local folklore records. This dual method provides a rich, authentic perspective on tribal contributions across pre-colonial, colonial, and post-independence periods, offering an original lens on their influence.</w:t>
      </w:r>
    </w:p>
    <w:p w14:paraId="6519E605"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This research underscores the necessity of embedding tribal narratives into India’s historical framework, </w:t>
      </w:r>
      <w:proofErr w:type="spellStart"/>
      <w:r>
        <w:rPr>
          <w:rFonts w:ascii="Times New Roman" w:eastAsia="Times New Roman" w:hAnsi="Times New Roman" w:cs="Times New Roman"/>
        </w:rPr>
        <w:t>honoring</w:t>
      </w:r>
      <w:proofErr w:type="spellEnd"/>
      <w:r>
        <w:rPr>
          <w:rFonts w:ascii="Times New Roman" w:eastAsia="Times New Roman" w:hAnsi="Times New Roman" w:cs="Times New Roman"/>
        </w:rPr>
        <w:t xml:space="preserve"> their sacrifices and cultural contributions. Their struggles have fortified national unity, while their traditions offer insights for modern inclusivity. Recommendations include establishing tribal heritage </w:t>
      </w:r>
      <w:proofErr w:type="spellStart"/>
      <w:r>
        <w:rPr>
          <w:rFonts w:ascii="Times New Roman" w:eastAsia="Times New Roman" w:hAnsi="Times New Roman" w:cs="Times New Roman"/>
        </w:rPr>
        <w:t>centers</w:t>
      </w:r>
      <w:proofErr w:type="spellEnd"/>
      <w:r>
        <w:rPr>
          <w:rFonts w:ascii="Times New Roman" w:eastAsia="Times New Roman" w:hAnsi="Times New Roman" w:cs="Times New Roman"/>
        </w:rPr>
        <w:t xml:space="preserve"> and revising educational content to reflect these stories, ensuring their legacy inspires future generations. By recognizing the tribal thread, India can weave a more inclusive historical tapestry, celebrating the courage of Birsa Munda, </w:t>
      </w:r>
      <w:proofErr w:type="spellStart"/>
      <w:r>
        <w:rPr>
          <w:rFonts w:ascii="Times New Roman" w:eastAsia="Times New Roman" w:hAnsi="Times New Roman" w:cs="Times New Roman"/>
        </w:rPr>
        <w:t>Sidho-Kanho</w:t>
      </w:r>
      <w:proofErr w:type="spellEnd"/>
      <w:r>
        <w:rPr>
          <w:rFonts w:ascii="Times New Roman" w:eastAsia="Times New Roman" w:hAnsi="Times New Roman" w:cs="Times New Roman"/>
        </w:rPr>
        <w:t>, and others who shaped the nation.</w:t>
      </w:r>
    </w:p>
    <w:p w14:paraId="2D9A440E"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b/>
        </w:rPr>
        <w:t>Keywords:</w:t>
      </w:r>
      <w:r>
        <w:rPr>
          <w:rFonts w:ascii="Times New Roman" w:eastAsia="Times New Roman" w:hAnsi="Times New Roman" w:cs="Times New Roman"/>
        </w:rPr>
        <w:t xml:space="preserve"> Indian tribes, historical legacy, Birsa Munda, </w:t>
      </w:r>
      <w:proofErr w:type="spellStart"/>
      <w:r>
        <w:rPr>
          <w:rFonts w:ascii="Times New Roman" w:eastAsia="Times New Roman" w:hAnsi="Times New Roman" w:cs="Times New Roman"/>
        </w:rPr>
        <w:t>Sidho-Kanho</w:t>
      </w:r>
      <w:proofErr w:type="spellEnd"/>
      <w:r>
        <w:rPr>
          <w:rFonts w:ascii="Times New Roman" w:eastAsia="Times New Roman" w:hAnsi="Times New Roman" w:cs="Times New Roman"/>
        </w:rPr>
        <w:t>, Santhal uprising, Gond resistance, Naga autonomy, cultural heritage</w:t>
      </w:r>
    </w:p>
    <w:p w14:paraId="123198B1" w14:textId="77777777" w:rsidR="003934E1" w:rsidRDefault="003934E1">
      <w:pPr>
        <w:spacing w:after="160" w:line="259" w:lineRule="auto"/>
        <w:rPr>
          <w:rFonts w:ascii="Times New Roman" w:eastAsia="Times New Roman" w:hAnsi="Times New Roman" w:cs="Times New Roman"/>
          <w:sz w:val="22"/>
          <w:szCs w:val="22"/>
        </w:rPr>
      </w:pPr>
    </w:p>
    <w:p w14:paraId="13BB7C58" w14:textId="77777777" w:rsidR="003934E1" w:rsidRDefault="003934E1">
      <w:pPr>
        <w:spacing w:after="160" w:line="259" w:lineRule="auto"/>
        <w:rPr>
          <w:rFonts w:ascii="Times New Roman" w:eastAsia="Times New Roman" w:hAnsi="Times New Roman" w:cs="Times New Roman"/>
          <w:sz w:val="22"/>
          <w:szCs w:val="22"/>
        </w:rPr>
      </w:pPr>
    </w:p>
    <w:p w14:paraId="1A9DFEBC" w14:textId="77777777" w:rsidR="003934E1" w:rsidRDefault="003934E1">
      <w:pPr>
        <w:spacing w:after="160" w:line="259" w:lineRule="auto"/>
        <w:rPr>
          <w:rFonts w:ascii="Times New Roman" w:eastAsia="Times New Roman" w:hAnsi="Times New Roman" w:cs="Times New Roman"/>
          <w:sz w:val="22"/>
          <w:szCs w:val="22"/>
        </w:rPr>
      </w:pPr>
    </w:p>
    <w:p w14:paraId="3A421FB4" w14:textId="77777777" w:rsidR="003934E1"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Introduction</w:t>
      </w:r>
    </w:p>
    <w:p w14:paraId="15C71914" w14:textId="77777777" w:rsidR="003934E1"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2"/>
          <w:szCs w:val="22"/>
        </w:rPr>
        <w:br/>
      </w:r>
      <w:r>
        <w:rPr>
          <w:rFonts w:ascii="Times New Roman" w:eastAsia="Times New Roman" w:hAnsi="Times New Roman" w:cs="Times New Roman"/>
        </w:rPr>
        <w:t>India’s national history has often been narrated from the lens of dominant political figures, mainstream freedom movements, and urban-centric developments. However, a crucial dimension remains underrepresented: the role of tribal communities in shaping the subcontinent’s socio-political and cultural trajectory. The indigenous people of India, collectively known as Adivasis, have played an instrumental role in resisting imperialism, sustaining traditional knowledge systems, and preserving India’s ecological and cultural diversity.</w:t>
      </w:r>
    </w:p>
    <w:p w14:paraId="1219E232"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Historically, tribal communities have inhabited regions rich in natural resources, which made them targets of colonial and post-colonial exploitation. Despite facing centuries of marginalization, displacement, and assimilation pressures, these communities have preserved their distinct identities through strong social institutions, community practices, and spiritual ties to the land. Their contributions go far beyond resistance—they represent a deep reservoir of wisdom, environmental stewardship, and alternative governance structures that predate the modern state.</w:t>
      </w:r>
    </w:p>
    <w:p w14:paraId="0607480C"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Tribal leaders such as Birsa Munda and </w:t>
      </w:r>
      <w:proofErr w:type="spellStart"/>
      <w:r>
        <w:rPr>
          <w:rFonts w:ascii="Times New Roman" w:eastAsia="Times New Roman" w:hAnsi="Times New Roman" w:cs="Times New Roman"/>
        </w:rPr>
        <w:t>Sidho-Kanho</w:t>
      </w:r>
      <w:proofErr w:type="spellEnd"/>
      <w:r>
        <w:rPr>
          <w:rFonts w:ascii="Times New Roman" w:eastAsia="Times New Roman" w:hAnsi="Times New Roman" w:cs="Times New Roman"/>
        </w:rPr>
        <w:t xml:space="preserve"> did not merely resist British rule—they articulated powerful visions of justice, equality, and indigenous sovereignty. Similarly, movements in the Gond territories and the Naga hills challenged the notion that state-building must follow a uniform, top-down trajectory. These histories suggest that the nation was not built solely in legislative chambers or battlefields, but also in forests, hills, and village assemblies where tribal voices echoed with demands for recognition and autonomy.</w:t>
      </w:r>
    </w:p>
    <w:p w14:paraId="6063AA75"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This paper attempts to highlight these marginalized voices, focusing on significant tribal movements and leaders such as Birsa Munda, </w:t>
      </w:r>
      <w:proofErr w:type="spellStart"/>
      <w:r>
        <w:rPr>
          <w:rFonts w:ascii="Times New Roman" w:eastAsia="Times New Roman" w:hAnsi="Times New Roman" w:cs="Times New Roman"/>
        </w:rPr>
        <w:t>Sidho</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Kanho</w:t>
      </w:r>
      <w:proofErr w:type="spellEnd"/>
      <w:r>
        <w:rPr>
          <w:rFonts w:ascii="Times New Roman" w:eastAsia="Times New Roman" w:hAnsi="Times New Roman" w:cs="Times New Roman"/>
        </w:rPr>
        <w:t>, the Gond resistance, and the Naga struggle for autonomy. Drawing from oral narratives and archival documents, the study offers a fresh and authentic portrayal of how these communities have been integral to the process of nation-building.</w:t>
      </w:r>
    </w:p>
    <w:p w14:paraId="6A8F29E3"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The urgency of this inquiry stems from the increasing erasure of tribal contributions in textbooks, policy frameworks, and national consciousness. Their marginalization in public memory has real-world consequences, including the continued neglect of tribal issues in governance and policy. By examining the intersections of resistance, identity, and culture, this research aspires to reconstruct a more inclusive narrative of Indian history that </w:t>
      </w:r>
      <w:proofErr w:type="spellStart"/>
      <w:r>
        <w:rPr>
          <w:rFonts w:ascii="Times New Roman" w:eastAsia="Times New Roman" w:hAnsi="Times New Roman" w:cs="Times New Roman"/>
        </w:rPr>
        <w:t>honors</w:t>
      </w:r>
      <w:proofErr w:type="spellEnd"/>
      <w:r>
        <w:rPr>
          <w:rFonts w:ascii="Times New Roman" w:eastAsia="Times New Roman" w:hAnsi="Times New Roman" w:cs="Times New Roman"/>
        </w:rPr>
        <w:t xml:space="preserve"> the "tribal thread" in the nation's past.</w:t>
      </w:r>
    </w:p>
    <w:p w14:paraId="1146CC13" w14:textId="77777777" w:rsidR="003934E1" w:rsidRDefault="003934E1">
      <w:pPr>
        <w:spacing w:after="160" w:line="259" w:lineRule="auto"/>
        <w:rPr>
          <w:rFonts w:ascii="Times New Roman" w:eastAsia="Times New Roman" w:hAnsi="Times New Roman" w:cs="Times New Roman"/>
          <w:b/>
          <w:sz w:val="22"/>
          <w:szCs w:val="22"/>
        </w:rPr>
      </w:pPr>
    </w:p>
    <w:p w14:paraId="640FA9E0" w14:textId="77777777" w:rsidR="003934E1"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Review of Literature</w:t>
      </w:r>
    </w:p>
    <w:p w14:paraId="47F4E053"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The literature on tribal communities in India is rich yet often fragmented, oscillating between anthropological curiosity and political critique. Scholars like Ramachandra Guha, Verrier Elwin, and Walter Fernandes have extensively documented tribal life, especially in central and northeast India. Guha's ecological history underscores the symbiotic relationship between tribal societies and forests, challenging the notion that these communities are primitive or </w:t>
      </w:r>
      <w:r>
        <w:rPr>
          <w:rFonts w:ascii="Times New Roman" w:eastAsia="Times New Roman" w:hAnsi="Times New Roman" w:cs="Times New Roman"/>
        </w:rPr>
        <w:lastRenderedPageBreak/>
        <w:t>stagnant. His works provide a critical understanding of how tribes have historically protected India's natural ecosystems against commercial and colonial exploitation.</w:t>
      </w:r>
    </w:p>
    <w:p w14:paraId="184EA3DA"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Verrier Elwin, one of the earliest ethnographers of Indian tribes, portrayed the spiritual and cultural richness of tribal life. His approach was both descriptive and idealistic, advocating for non-interference in tribal areas. However, many have critiqued Elwin's romanticism as inadvertently reinforcing binaries between the "civilized" and the "primitive," failing to capture the dynamism and political consciousness of tribal groups. His contributions, while valuable, were also influenced by colonial ideologies and often lacked a robust engagement with the resistance politics within tribal communities.</w:t>
      </w:r>
    </w:p>
    <w:p w14:paraId="1BF0918D"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Walter Fernandes has focused more explicitly on the displacement and marginalization of tribes, especially in the wake of large-scale development projects. His work highlights how state-led industrialization and dam-building have disproportionately affected Adivasis, leading to land alienation, loss of livelihoods, and cultural disintegration. Fernandes provides a critical framework to understand how development-induced displacement contributes to systemic marginalization. His advocacy for recognizing the rights of the displaced has had policy-level implications, influencing both academic and activist circles.</w:t>
      </w:r>
    </w:p>
    <w:p w14:paraId="770CA044"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In recent decades, scholars like Archana Prasad and Alpa Shah have contributed to reframing tribal narratives by emphasizing agency and resistance rather than victimhood. Prasad critiques ecological romanticism and advocates for a materialist understanding of tribal resistance, particularly in the context of class struggle and natural resource conflicts. Her research positions tribal movements within the framework of political economy and social justice.</w:t>
      </w:r>
    </w:p>
    <w:p w14:paraId="3A6D4CEF"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Alpa Shah, through ethnographic research on Naxalite movements in eastern India, demonstrates how tribal identity intersects with class-based insurgencies. She contends that these movements are not merely ideological but rooted in lived experiences of oppression and aspirations for dignity. By focusing on tribal women’s participation and the everyday politics of insurgency, Shah adds important gendered dimensions to the literature.</w:t>
      </w:r>
    </w:p>
    <w:p w14:paraId="0E2D4CD0"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Additionally, contributions from scholars such as Felix Padel and Ajay Dandekar have explored the interface between tribal governance, resistance, and development. Padel's work on mining and tribal rights in Odisha offers crucial insights into the ecological and cultural devastation caused by extractive industries. He links these issues with spiritual worldviews and local cosmologies that often clash with neoliberal development paradigms.</w:t>
      </w:r>
    </w:p>
    <w:p w14:paraId="7AE86ED2"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There is also a growing body of literature focusing on the role of oral traditions, indigenous knowledge systems, and cultural memory in sustaining tribal identities. Researchers like Ganesh Devy have championed the linguistic and cultural preservation of tribal communities, emphasizing the importance of documenting oral epics, songs, and folk histories. These cultural forms are not merely artistic expressions but active repositories of historical consciousness and resistance.</w:t>
      </w:r>
    </w:p>
    <w:p w14:paraId="41F07563"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Despite these advances, there remains a lack of comprehensive, cross-regional studies that connect tribal resistance movements to the broader trajectory of Indian nation-building. Much of the literature remains region-specific, limiting its ability to formulate pan-Indian frameworks. This study addresses that gap by focusing on four major tribal narratives—</w:t>
      </w:r>
      <w:r>
        <w:rPr>
          <w:rFonts w:ascii="Times New Roman" w:eastAsia="Times New Roman" w:hAnsi="Times New Roman" w:cs="Times New Roman"/>
        </w:rPr>
        <w:lastRenderedPageBreak/>
        <w:t>Jharkhand, Madhya Pradesh, and Nagaland—and exploring their interconnected relevance to India's political and cultural evolution.</w:t>
      </w:r>
    </w:p>
    <w:p w14:paraId="40D41D9F" w14:textId="77777777" w:rsidR="003934E1" w:rsidRDefault="003934E1">
      <w:pPr>
        <w:spacing w:after="160" w:line="259" w:lineRule="auto"/>
        <w:rPr>
          <w:rFonts w:ascii="Times New Roman" w:eastAsia="Times New Roman" w:hAnsi="Times New Roman" w:cs="Times New Roman"/>
          <w:b/>
          <w:sz w:val="22"/>
          <w:szCs w:val="22"/>
        </w:rPr>
      </w:pPr>
    </w:p>
    <w:p w14:paraId="2481419E" w14:textId="77777777" w:rsidR="003934E1"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Objectives of the Study</w:t>
      </w:r>
    </w:p>
    <w:p w14:paraId="0DBF109C" w14:textId="77777777" w:rsidR="003934E1" w:rsidRDefault="00000000">
      <w:pPr>
        <w:numPr>
          <w:ilvl w:val="0"/>
          <w:numId w:val="19"/>
        </w:num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To explore the historical contributions of Indian tribal leaders and communities in the national freedom struggle. This includes understanding the socio-political contexts in which figures like Birsa Munda, </w:t>
      </w:r>
      <w:proofErr w:type="spellStart"/>
      <w:r>
        <w:rPr>
          <w:rFonts w:ascii="Times New Roman" w:eastAsia="Times New Roman" w:hAnsi="Times New Roman" w:cs="Times New Roman"/>
        </w:rPr>
        <w:t>Sidho-Kanho</w:t>
      </w:r>
      <w:proofErr w:type="spellEnd"/>
      <w:r>
        <w:rPr>
          <w:rFonts w:ascii="Times New Roman" w:eastAsia="Times New Roman" w:hAnsi="Times New Roman" w:cs="Times New Roman"/>
        </w:rPr>
        <w:t xml:space="preserve">, and A.Z. </w:t>
      </w:r>
      <w:proofErr w:type="spellStart"/>
      <w:r>
        <w:rPr>
          <w:rFonts w:ascii="Times New Roman" w:eastAsia="Times New Roman" w:hAnsi="Times New Roman" w:cs="Times New Roman"/>
        </w:rPr>
        <w:t>Phizo</w:t>
      </w:r>
      <w:proofErr w:type="spellEnd"/>
      <w:r>
        <w:rPr>
          <w:rFonts w:ascii="Times New Roman" w:eastAsia="Times New Roman" w:hAnsi="Times New Roman" w:cs="Times New Roman"/>
        </w:rPr>
        <w:t xml:space="preserve"> emerged, and how their movements shaped resistance strategies against colonial rule.</w:t>
      </w:r>
    </w:p>
    <w:p w14:paraId="75ECEBB6" w14:textId="77777777" w:rsidR="003934E1" w:rsidRDefault="00000000">
      <w:pPr>
        <w:numPr>
          <w:ilvl w:val="0"/>
          <w:numId w:val="19"/>
        </w:numPr>
        <w:spacing w:after="160" w:line="259" w:lineRule="auto"/>
        <w:rPr>
          <w:rFonts w:ascii="Times New Roman" w:eastAsia="Times New Roman" w:hAnsi="Times New Roman" w:cs="Times New Roman"/>
        </w:rPr>
      </w:pPr>
      <w:r>
        <w:rPr>
          <w:rFonts w:ascii="Times New Roman" w:eastAsia="Times New Roman" w:hAnsi="Times New Roman" w:cs="Times New Roman"/>
        </w:rPr>
        <w:t>To understand the socio-political and cultural impact of tribal resistance on the Indian nation-state. The study seeks to examine how tribal resistance movements influenced broader discourses on autonomy, land rights, and cultural preservation, and how these shaped the post-independence democratic framework.</w:t>
      </w:r>
    </w:p>
    <w:p w14:paraId="1D1BAA6B" w14:textId="77777777" w:rsidR="003934E1" w:rsidRDefault="00000000">
      <w:pPr>
        <w:numPr>
          <w:ilvl w:val="0"/>
          <w:numId w:val="19"/>
        </w:num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To document oral histories and indigenous knowledge systems preserved by tribal communities. Oral narratives, songs, and rituals serve as alternative archives of history, and the objective is to collect, preserve, and </w:t>
      </w:r>
      <w:proofErr w:type="spellStart"/>
      <w:r>
        <w:rPr>
          <w:rFonts w:ascii="Times New Roman" w:eastAsia="Times New Roman" w:hAnsi="Times New Roman" w:cs="Times New Roman"/>
        </w:rPr>
        <w:t>analyze</w:t>
      </w:r>
      <w:proofErr w:type="spellEnd"/>
      <w:r>
        <w:rPr>
          <w:rFonts w:ascii="Times New Roman" w:eastAsia="Times New Roman" w:hAnsi="Times New Roman" w:cs="Times New Roman"/>
        </w:rPr>
        <w:t xml:space="preserve"> these forms of cultural memory to better understand their roles in transmitting values and resistance ideologies across generations.</w:t>
      </w:r>
    </w:p>
    <w:p w14:paraId="496583BE" w14:textId="77777777" w:rsidR="003934E1" w:rsidRDefault="00000000">
      <w:pPr>
        <w:numPr>
          <w:ilvl w:val="0"/>
          <w:numId w:val="19"/>
        </w:numPr>
        <w:spacing w:after="160" w:line="259" w:lineRule="auto"/>
        <w:rPr>
          <w:rFonts w:ascii="Times New Roman" w:eastAsia="Times New Roman" w:hAnsi="Times New Roman" w:cs="Times New Roman"/>
        </w:rPr>
      </w:pPr>
      <w:r>
        <w:rPr>
          <w:rFonts w:ascii="Times New Roman" w:eastAsia="Times New Roman" w:hAnsi="Times New Roman" w:cs="Times New Roman"/>
        </w:rPr>
        <w:t>To recommend ways of integrating tribal narratives into mainstream historical and educational discourses. The aim is to critically assess how tribal contributions are currently represented in school curricula and suggest reforms to ensure inclusive and accurate historical representation.</w:t>
      </w:r>
    </w:p>
    <w:p w14:paraId="567BE4B1" w14:textId="77777777" w:rsidR="003934E1" w:rsidRDefault="00000000">
      <w:pPr>
        <w:numPr>
          <w:ilvl w:val="0"/>
          <w:numId w:val="19"/>
        </w:numPr>
        <w:spacing w:after="160" w:line="259" w:lineRule="auto"/>
        <w:rPr>
          <w:rFonts w:ascii="Times New Roman" w:eastAsia="Times New Roman" w:hAnsi="Times New Roman" w:cs="Times New Roman"/>
        </w:rPr>
      </w:pPr>
      <w:r>
        <w:rPr>
          <w:rFonts w:ascii="Times New Roman" w:eastAsia="Times New Roman" w:hAnsi="Times New Roman" w:cs="Times New Roman"/>
        </w:rPr>
        <w:t>To bridge the gap between academic discourse and grassroots realities by bringing tribal voices into scholarly debates. By doing so, the research aims to decolonize historical writing and empower tribal knowledge systems as legitimate sources of history and identity.</w:t>
      </w:r>
    </w:p>
    <w:p w14:paraId="6A013DE1" w14:textId="77777777" w:rsidR="003934E1" w:rsidRDefault="00000000">
      <w:pPr>
        <w:numPr>
          <w:ilvl w:val="0"/>
          <w:numId w:val="19"/>
        </w:num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To contribute to policymaking by offering insights into how the recognition of tribal histories can inform contemporary debates on identity, federalism, and cultural rights. This includes promoting the establishment of heritage </w:t>
      </w:r>
      <w:proofErr w:type="spellStart"/>
      <w:r>
        <w:rPr>
          <w:rFonts w:ascii="Times New Roman" w:eastAsia="Times New Roman" w:hAnsi="Times New Roman" w:cs="Times New Roman"/>
        </w:rPr>
        <w:t>centers</w:t>
      </w:r>
      <w:proofErr w:type="spellEnd"/>
      <w:r>
        <w:rPr>
          <w:rFonts w:ascii="Times New Roman" w:eastAsia="Times New Roman" w:hAnsi="Times New Roman" w:cs="Times New Roman"/>
        </w:rPr>
        <w:t>, cultural archives, and policy mechanisms that safeguard tribal heritage.</w:t>
      </w:r>
    </w:p>
    <w:p w14:paraId="4CAFC9F0" w14:textId="77777777" w:rsidR="003934E1" w:rsidRDefault="003934E1">
      <w:pPr>
        <w:spacing w:after="160" w:line="259" w:lineRule="auto"/>
        <w:rPr>
          <w:rFonts w:ascii="Times New Roman" w:eastAsia="Times New Roman" w:hAnsi="Times New Roman" w:cs="Times New Roman"/>
          <w:b/>
          <w:sz w:val="22"/>
          <w:szCs w:val="22"/>
        </w:rPr>
      </w:pPr>
    </w:p>
    <w:p w14:paraId="0EE2D6EE" w14:textId="77777777" w:rsidR="003934E1"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Research Methodology</w:t>
      </w:r>
    </w:p>
    <w:p w14:paraId="2F5C1AAA"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This study adopts a qualitative research design grounded in the principles of interpretive inquiry, which is particularly suitable for exploring culturally rich, historically underrepresented communities such as India’s tribal populations. The methodology combines both primary and secondary sources to achieve a multidimensional understanding of the tribal role in India's nation-building process.</w:t>
      </w:r>
    </w:p>
    <w:p w14:paraId="7B77BA0E"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b/>
        </w:rPr>
        <w:t>Primary Data Collection:</w:t>
      </w:r>
      <w:r>
        <w:rPr>
          <w:rFonts w:ascii="Times New Roman" w:eastAsia="Times New Roman" w:hAnsi="Times New Roman" w:cs="Times New Roman"/>
        </w:rPr>
        <w:t xml:space="preserve"> The core of the research lies in fieldwork conducted across three states: Jharkhand, Madhya Pradesh, and Nagaland. A total of 19 semi-structured interviews were conducted with tribal elders, cultural custodians, and community leaders from diverse tribal groups including the Munda, Santhal, Gond, and Naga tribes. These interviews were </w:t>
      </w:r>
      <w:r>
        <w:rPr>
          <w:rFonts w:ascii="Times New Roman" w:eastAsia="Times New Roman" w:hAnsi="Times New Roman" w:cs="Times New Roman"/>
        </w:rPr>
        <w:lastRenderedPageBreak/>
        <w:t>carried out between March and April 2025 and employed purposive sampling to ensure the inclusion of respondents with extensive oral knowledge of their community's history.</w:t>
      </w:r>
    </w:p>
    <w:p w14:paraId="3B29A42C"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In addition to interviews, ethnographic observation was undertaken during tribal festivals, rituals, and community gatherings. Audio-visual documentation of dances, songs, and symbolic practices was also recorded with consent to understand how cultural memory is preserved and transmitted through performance.</w:t>
      </w:r>
    </w:p>
    <w:p w14:paraId="478BF3D7"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b/>
        </w:rPr>
        <w:t>Secondary Sources:</w:t>
      </w:r>
      <w:r>
        <w:rPr>
          <w:rFonts w:ascii="Times New Roman" w:eastAsia="Times New Roman" w:hAnsi="Times New Roman" w:cs="Times New Roman"/>
        </w:rPr>
        <w:t xml:space="preserve"> Secondary data was sourced from over 30 documents housed in the National Archives of India, regional archives in Ranchi and Kohima, and digitized repositories. These documents included colonial-era administrative reports, ethnographic notes, and early census data. Scholarly books, journal articles, and governmental reports on tribal resistance movements and policies further supplemented the research base.</w:t>
      </w:r>
    </w:p>
    <w:p w14:paraId="5F16605C"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b/>
        </w:rPr>
        <w:t>Analytical Framework:</w:t>
      </w:r>
      <w:r>
        <w:rPr>
          <w:rFonts w:ascii="Times New Roman" w:eastAsia="Times New Roman" w:hAnsi="Times New Roman" w:cs="Times New Roman"/>
        </w:rPr>
        <w:t xml:space="preserve"> A thematic analysis was conducted on both interview transcripts and secondary literature. Coding was done to identify key themes such as resistance, displacement, autonomy, cultural preservation, and leadership. NVivo software was used to manage and categorize the qualitative data systematically. Patterns emerging from different regions were compared to draw connections across tribal geographies.</w:t>
      </w:r>
    </w:p>
    <w:p w14:paraId="787BA0C8"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b/>
        </w:rPr>
        <w:t>Ethical Considerations:</w:t>
      </w:r>
      <w:r>
        <w:rPr>
          <w:rFonts w:ascii="Times New Roman" w:eastAsia="Times New Roman" w:hAnsi="Times New Roman" w:cs="Times New Roman"/>
        </w:rPr>
        <w:t xml:space="preserve"> Ethical clearance was obtained prior to the commencement of fieldwork. All participants were informed about the purpose of the study, and verbal and written consent was secured. Cultural sensitivity was maintained throughout the process, with researchers adhering to community-specific protocols during interactions. Participants were offered the option to remain anonymous, and all data has been stored securely.</w:t>
      </w:r>
    </w:p>
    <w:p w14:paraId="39D4000F"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b/>
        </w:rPr>
        <w:t>Limitations:</w:t>
      </w:r>
      <w:r>
        <w:rPr>
          <w:rFonts w:ascii="Times New Roman" w:eastAsia="Times New Roman" w:hAnsi="Times New Roman" w:cs="Times New Roman"/>
        </w:rPr>
        <w:t xml:space="preserve"> Due to the vast geographical spread and linguistic diversity of tribal communities in India, the research was limited to a few selected tribes. The study acknowledges the difficulty of generalizing findings across all tribal regions but compensates for this by providing a deep, localized perspective from each selected area. Moreover, logistical challenges, such as inaccessible terrains and time constraints, occasionally limited the duration and depth of engagement in some regions.</w:t>
      </w:r>
    </w:p>
    <w:p w14:paraId="15130C67"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This mixed-method, culturally grounded approach ensures that the voices of tribal communities are central to the analysis, not merely as subjects of inquiry but as active participants in constructing their own historical narratives.</w:t>
      </w:r>
    </w:p>
    <w:p w14:paraId="16CF93CD" w14:textId="77777777" w:rsidR="003934E1" w:rsidRDefault="003934E1">
      <w:pPr>
        <w:spacing w:after="160" w:line="259" w:lineRule="auto"/>
        <w:rPr>
          <w:rFonts w:ascii="Times New Roman" w:eastAsia="Times New Roman" w:hAnsi="Times New Roman" w:cs="Times New Roman"/>
          <w:sz w:val="22"/>
          <w:szCs w:val="22"/>
        </w:rPr>
      </w:pPr>
    </w:p>
    <w:p w14:paraId="3465E4C8" w14:textId="77777777" w:rsidR="003934E1"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Data Analysis and Discussion</w:t>
      </w:r>
    </w:p>
    <w:p w14:paraId="4406A72B"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The narratives collected during fieldwork reveal a multifaceted landscape of resistance, cultural pride, and enduring indigenous identity. A comparative analysis across regions—Jharkhand, Madhya Pradesh, and Nagaland—unfolds both unique and shared dimensions of tribal consciousness and collective memory. The data reinforces the argument that tribal resistance was not only reactive but also a proactive assertion of rights, land, and identity rooted in spiritual cosmology and communal governance.</w:t>
      </w:r>
    </w:p>
    <w:p w14:paraId="4E4806A5"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b/>
        </w:rPr>
        <w:t xml:space="preserve">Jharkhand: Birsa Munda and the Call for </w:t>
      </w:r>
      <w:proofErr w:type="spellStart"/>
      <w:r>
        <w:rPr>
          <w:rFonts w:ascii="Times New Roman" w:eastAsia="Times New Roman" w:hAnsi="Times New Roman" w:cs="Times New Roman"/>
          <w:b/>
        </w:rPr>
        <w:t>Ulgulan</w:t>
      </w:r>
      <w:proofErr w:type="spellEnd"/>
      <w:r>
        <w:rPr>
          <w:rFonts w:ascii="Times New Roman" w:eastAsia="Times New Roman" w:hAnsi="Times New Roman" w:cs="Times New Roman"/>
        </w:rPr>
        <w:br/>
        <w:t xml:space="preserve">Birsa Munda’s movement, known as </w:t>
      </w:r>
      <w:proofErr w:type="spellStart"/>
      <w:r>
        <w:rPr>
          <w:rFonts w:ascii="Times New Roman" w:eastAsia="Times New Roman" w:hAnsi="Times New Roman" w:cs="Times New Roman"/>
        </w:rPr>
        <w:t>Ulgulan</w:t>
      </w:r>
      <w:proofErr w:type="spellEnd"/>
      <w:r>
        <w:rPr>
          <w:rFonts w:ascii="Times New Roman" w:eastAsia="Times New Roman" w:hAnsi="Times New Roman" w:cs="Times New Roman"/>
        </w:rPr>
        <w:t xml:space="preserve"> (The Great Tumult), exemplifies a sophisticated socio-political and spiritual uprising against colonial forces. Oral accounts from </w:t>
      </w:r>
      <w:proofErr w:type="spellStart"/>
      <w:r>
        <w:rPr>
          <w:rFonts w:ascii="Times New Roman" w:eastAsia="Times New Roman" w:hAnsi="Times New Roman" w:cs="Times New Roman"/>
        </w:rPr>
        <w:lastRenderedPageBreak/>
        <w:t>Khunti</w:t>
      </w:r>
      <w:proofErr w:type="spellEnd"/>
      <w:r>
        <w:rPr>
          <w:rFonts w:ascii="Times New Roman" w:eastAsia="Times New Roman" w:hAnsi="Times New Roman" w:cs="Times New Roman"/>
        </w:rPr>
        <w:t xml:space="preserve"> and Ranchi emphasized how Birsa was seen not merely as a rebel but as a divine prophet. His vision of “</w:t>
      </w:r>
      <w:proofErr w:type="spellStart"/>
      <w:r>
        <w:rPr>
          <w:rFonts w:ascii="Times New Roman" w:eastAsia="Times New Roman" w:hAnsi="Times New Roman" w:cs="Times New Roman"/>
        </w:rPr>
        <w:t>Abua</w:t>
      </w:r>
      <w:proofErr w:type="spellEnd"/>
      <w:r>
        <w:rPr>
          <w:rFonts w:ascii="Times New Roman" w:eastAsia="Times New Roman" w:hAnsi="Times New Roman" w:cs="Times New Roman"/>
        </w:rPr>
        <w:t xml:space="preserve"> Raj” (Our Rule) rejected colonial governance and envisioned a community-led, spiritually informed tribal state. Respondents noted how Birsa’s teachings still resonate in community rituals, songs, and even political activism among Adivasi youth today. His martyrdom has become a symbol of indigenous pride and spiritual resistance.</w:t>
      </w:r>
    </w:p>
    <w:p w14:paraId="3C33C29B"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b/>
        </w:rPr>
        <w:t xml:space="preserve">Santhal Rebellion: </w:t>
      </w:r>
      <w:proofErr w:type="spellStart"/>
      <w:r>
        <w:rPr>
          <w:rFonts w:ascii="Times New Roman" w:eastAsia="Times New Roman" w:hAnsi="Times New Roman" w:cs="Times New Roman"/>
          <w:b/>
        </w:rPr>
        <w:t>Sidho</w:t>
      </w:r>
      <w:proofErr w:type="spellEnd"/>
      <w:r>
        <w:rPr>
          <w:rFonts w:ascii="Times New Roman" w:eastAsia="Times New Roman" w:hAnsi="Times New Roman" w:cs="Times New Roman"/>
          <w:b/>
        </w:rPr>
        <w:t xml:space="preserve"> and </w:t>
      </w:r>
      <w:proofErr w:type="spellStart"/>
      <w:r>
        <w:rPr>
          <w:rFonts w:ascii="Times New Roman" w:eastAsia="Times New Roman" w:hAnsi="Times New Roman" w:cs="Times New Roman"/>
          <w:b/>
        </w:rPr>
        <w:t>Kanho’s</w:t>
      </w:r>
      <w:proofErr w:type="spellEnd"/>
      <w:r>
        <w:rPr>
          <w:rFonts w:ascii="Times New Roman" w:eastAsia="Times New Roman" w:hAnsi="Times New Roman" w:cs="Times New Roman"/>
          <w:b/>
        </w:rPr>
        <w:t xml:space="preserve"> Legacy</w:t>
      </w:r>
      <w:r>
        <w:rPr>
          <w:rFonts w:ascii="Times New Roman" w:eastAsia="Times New Roman" w:hAnsi="Times New Roman" w:cs="Times New Roman"/>
        </w:rPr>
        <w:br/>
        <w:t xml:space="preserve">In Dumka and </w:t>
      </w:r>
      <w:proofErr w:type="spellStart"/>
      <w:r>
        <w:rPr>
          <w:rFonts w:ascii="Times New Roman" w:eastAsia="Times New Roman" w:hAnsi="Times New Roman" w:cs="Times New Roman"/>
        </w:rPr>
        <w:t>Pakur</w:t>
      </w:r>
      <w:proofErr w:type="spellEnd"/>
      <w:r>
        <w:rPr>
          <w:rFonts w:ascii="Times New Roman" w:eastAsia="Times New Roman" w:hAnsi="Times New Roman" w:cs="Times New Roman"/>
        </w:rPr>
        <w:t>, interviews detailed the pre-1855 build-up to the Santhal Hul, with focus on land alienation and exploitation by moneylenders (</w:t>
      </w:r>
      <w:proofErr w:type="spellStart"/>
      <w:r>
        <w:rPr>
          <w:rFonts w:ascii="Times New Roman" w:eastAsia="Times New Roman" w:hAnsi="Times New Roman" w:cs="Times New Roman"/>
        </w:rPr>
        <w:t>mahajans</w:t>
      </w:r>
      <w:proofErr w:type="spellEnd"/>
      <w:r>
        <w:rPr>
          <w:rFonts w:ascii="Times New Roman" w:eastAsia="Times New Roman" w:hAnsi="Times New Roman" w:cs="Times New Roman"/>
        </w:rPr>
        <w:t xml:space="preserve">) and British officers. The rebellion was meticulously planned, with </w:t>
      </w:r>
      <w:proofErr w:type="spellStart"/>
      <w:r>
        <w:rPr>
          <w:rFonts w:ascii="Times New Roman" w:eastAsia="Times New Roman" w:hAnsi="Times New Roman" w:cs="Times New Roman"/>
        </w:rPr>
        <w:t>Sidho</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Kanho</w:t>
      </w:r>
      <w:proofErr w:type="spellEnd"/>
      <w:r>
        <w:rPr>
          <w:rFonts w:ascii="Times New Roman" w:eastAsia="Times New Roman" w:hAnsi="Times New Roman" w:cs="Times New Roman"/>
        </w:rPr>
        <w:t xml:space="preserve"> mobilizing thousands through village-level assemblies. The data revealed how these leaders adopted a moral-political leadership style, often invoking divine sanction to inspire courage. Today, local festivals like Hul Diwas reenact the uprising, keeping the historical memory alive.</w:t>
      </w:r>
    </w:p>
    <w:p w14:paraId="28BD85E8"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b/>
        </w:rPr>
        <w:t>Madhya Pradesh: Gond Resistance and Ecological Stewardship</w:t>
      </w:r>
      <w:r>
        <w:rPr>
          <w:rFonts w:ascii="Times New Roman" w:eastAsia="Times New Roman" w:hAnsi="Times New Roman" w:cs="Times New Roman"/>
          <w:b/>
        </w:rPr>
        <w:br/>
      </w:r>
      <w:r>
        <w:rPr>
          <w:rFonts w:ascii="Times New Roman" w:eastAsia="Times New Roman" w:hAnsi="Times New Roman" w:cs="Times New Roman"/>
        </w:rPr>
        <w:t xml:space="preserve">In Mandla and </w:t>
      </w:r>
      <w:proofErr w:type="spellStart"/>
      <w:r>
        <w:rPr>
          <w:rFonts w:ascii="Times New Roman" w:eastAsia="Times New Roman" w:hAnsi="Times New Roman" w:cs="Times New Roman"/>
        </w:rPr>
        <w:t>Balaghat</w:t>
      </w:r>
      <w:proofErr w:type="spellEnd"/>
      <w:r>
        <w:rPr>
          <w:rFonts w:ascii="Times New Roman" w:eastAsia="Times New Roman" w:hAnsi="Times New Roman" w:cs="Times New Roman"/>
        </w:rPr>
        <w:t xml:space="preserve"> districts, Gond tribal elders described resistance through sabotage and symbolic protest—burning colonial forest records, planting trees in forbidden areas, and invoking forest spirits in protest chants. Data indicates that the resistance was deeply tied to ecological ethics. The forest was not a resource but a sacred entity, and resisting British forest laws was framed as a moral duty. Seasonal agricultural and hunting rituals continue to carry these ecological and resistance narratives.</w:t>
      </w:r>
    </w:p>
    <w:p w14:paraId="09C6E7B5"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b/>
        </w:rPr>
        <w:t>Nagaland: Cultural Autonomy and Political Struggles</w:t>
      </w:r>
      <w:r>
        <w:rPr>
          <w:rFonts w:ascii="Times New Roman" w:eastAsia="Times New Roman" w:hAnsi="Times New Roman" w:cs="Times New Roman"/>
          <w:b/>
        </w:rPr>
        <w:br/>
      </w:r>
      <w:r>
        <w:rPr>
          <w:rFonts w:ascii="Times New Roman" w:eastAsia="Times New Roman" w:hAnsi="Times New Roman" w:cs="Times New Roman"/>
        </w:rPr>
        <w:t xml:space="preserve">The Naga resistance, led by A.Z. </w:t>
      </w:r>
      <w:proofErr w:type="spellStart"/>
      <w:r>
        <w:rPr>
          <w:rFonts w:ascii="Times New Roman" w:eastAsia="Times New Roman" w:hAnsi="Times New Roman" w:cs="Times New Roman"/>
        </w:rPr>
        <w:t>Phizo</w:t>
      </w:r>
      <w:proofErr w:type="spellEnd"/>
      <w:r>
        <w:rPr>
          <w:rFonts w:ascii="Times New Roman" w:eastAsia="Times New Roman" w:hAnsi="Times New Roman" w:cs="Times New Roman"/>
        </w:rPr>
        <w:t xml:space="preserve"> and the Naga National Council, offers a complex example of long-term political struggle. Unlike Jharkhand and MP where uprisings were episodic, the Naga movement has spanned decades, evolving from armed resistance to political negotiations. Interviews in Kohima and Dimapur revealed that younger generations interpret </w:t>
      </w:r>
      <w:proofErr w:type="spellStart"/>
      <w:r>
        <w:rPr>
          <w:rFonts w:ascii="Times New Roman" w:eastAsia="Times New Roman" w:hAnsi="Times New Roman" w:cs="Times New Roman"/>
        </w:rPr>
        <w:t>Phizo’s</w:t>
      </w:r>
      <w:proofErr w:type="spellEnd"/>
      <w:r>
        <w:rPr>
          <w:rFonts w:ascii="Times New Roman" w:eastAsia="Times New Roman" w:hAnsi="Times New Roman" w:cs="Times New Roman"/>
        </w:rPr>
        <w:t xml:space="preserve"> legacy not just in political terms but as part of a broader cultural identity movement. The Hornbill Festival has become both a cultural celebration and a medium for asserting political and historical visibility.</w:t>
      </w:r>
    </w:p>
    <w:p w14:paraId="2EB3B6BD" w14:textId="77777777" w:rsidR="003934E1" w:rsidRDefault="003934E1">
      <w:pPr>
        <w:spacing w:after="160" w:line="259" w:lineRule="auto"/>
        <w:rPr>
          <w:rFonts w:ascii="Times New Roman" w:eastAsia="Times New Roman" w:hAnsi="Times New Roman" w:cs="Times New Roman"/>
        </w:rPr>
      </w:pPr>
    </w:p>
    <w:p w14:paraId="3F763C0A" w14:textId="77777777" w:rsidR="003934E1"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Comparative Insights:</w:t>
      </w:r>
    </w:p>
    <w:p w14:paraId="35EA1B22" w14:textId="77777777" w:rsidR="003934E1" w:rsidRDefault="00000000">
      <w:pPr>
        <w:numPr>
          <w:ilvl w:val="0"/>
          <w:numId w:val="20"/>
        </w:num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Across all regions, resistance was rooted in a sense of sacred duty—to protect the land, </w:t>
      </w:r>
      <w:proofErr w:type="spellStart"/>
      <w:r>
        <w:rPr>
          <w:rFonts w:ascii="Times New Roman" w:eastAsia="Times New Roman" w:hAnsi="Times New Roman" w:cs="Times New Roman"/>
        </w:rPr>
        <w:t>honor</w:t>
      </w:r>
      <w:proofErr w:type="spellEnd"/>
      <w:r>
        <w:rPr>
          <w:rFonts w:ascii="Times New Roman" w:eastAsia="Times New Roman" w:hAnsi="Times New Roman" w:cs="Times New Roman"/>
        </w:rPr>
        <w:t xml:space="preserve"> ancestors, and preserve community integrity. In Jharkhand, this duty was spiritualized through Birsa Munda’s vision of divine leadership, while in Nagaland it translated into long-standing calls for autonomy grounded in cultural rights.</w:t>
      </w:r>
    </w:p>
    <w:p w14:paraId="711FB679" w14:textId="77777777" w:rsidR="003934E1" w:rsidRDefault="00000000">
      <w:pPr>
        <w:numPr>
          <w:ilvl w:val="0"/>
          <w:numId w:val="20"/>
        </w:numPr>
        <w:spacing w:after="160" w:line="259" w:lineRule="auto"/>
        <w:rPr>
          <w:rFonts w:ascii="Times New Roman" w:eastAsia="Times New Roman" w:hAnsi="Times New Roman" w:cs="Times New Roman"/>
        </w:rPr>
      </w:pPr>
      <w:r>
        <w:rPr>
          <w:rFonts w:ascii="Times New Roman" w:eastAsia="Times New Roman" w:hAnsi="Times New Roman" w:cs="Times New Roman"/>
        </w:rPr>
        <w:t>Cultural expressions such as songs, dances, and festivals served not just as rituals but as narrative tools to encode and transmit history. Despite regional variations, the presence of oral history as a vehicle for resistance and education was universally emphasized. In Madhya Pradesh, the Gond oral traditions relayed stories of environmental defiance; in Nagaland, they upheld collective memory of political struggle.</w:t>
      </w:r>
    </w:p>
    <w:p w14:paraId="68A838F7" w14:textId="77777777" w:rsidR="003934E1" w:rsidRDefault="00000000">
      <w:pPr>
        <w:numPr>
          <w:ilvl w:val="0"/>
          <w:numId w:val="20"/>
        </w:num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The decentralized, oral nature of these histories makes them resistant to mainstream archival methods but also rich in symbolic and emotional depth. While written </w:t>
      </w:r>
      <w:r>
        <w:rPr>
          <w:rFonts w:ascii="Times New Roman" w:eastAsia="Times New Roman" w:hAnsi="Times New Roman" w:cs="Times New Roman"/>
        </w:rPr>
        <w:lastRenderedPageBreak/>
        <w:t>records often dismissed tribal movements as sporadic uprisings, local memories recorded their complex motivations, strategies, and intergenerational continuity.</w:t>
      </w:r>
    </w:p>
    <w:p w14:paraId="189E430F" w14:textId="77777777" w:rsidR="003934E1" w:rsidRDefault="00000000">
      <w:pPr>
        <w:numPr>
          <w:ilvl w:val="0"/>
          <w:numId w:val="20"/>
        </w:numPr>
        <w:spacing w:after="160" w:line="259" w:lineRule="auto"/>
        <w:rPr>
          <w:rFonts w:ascii="Times New Roman" w:eastAsia="Times New Roman" w:hAnsi="Times New Roman" w:cs="Times New Roman"/>
        </w:rPr>
      </w:pPr>
      <w:r>
        <w:rPr>
          <w:rFonts w:ascii="Times New Roman" w:eastAsia="Times New Roman" w:hAnsi="Times New Roman" w:cs="Times New Roman"/>
        </w:rPr>
        <w:t>There is a strong intergenerational transmission of resistance values through informal community education. In all three states, tribal youth were reported to be increasingly curious about their pasts, with many expressing a desire to preserve and promote their cultural heritage through local initiatives.</w:t>
      </w:r>
    </w:p>
    <w:p w14:paraId="0A7F5C70" w14:textId="77777777" w:rsidR="003934E1" w:rsidRDefault="00000000">
      <w:pPr>
        <w:numPr>
          <w:ilvl w:val="0"/>
          <w:numId w:val="20"/>
        </w:numPr>
        <w:spacing w:after="160" w:line="259" w:lineRule="auto"/>
        <w:rPr>
          <w:rFonts w:ascii="Times New Roman" w:eastAsia="Times New Roman" w:hAnsi="Times New Roman" w:cs="Times New Roman"/>
        </w:rPr>
      </w:pPr>
      <w:r>
        <w:rPr>
          <w:rFonts w:ascii="Times New Roman" w:eastAsia="Times New Roman" w:hAnsi="Times New Roman" w:cs="Times New Roman"/>
        </w:rPr>
        <w:t>While Jharkhand and Madhya Pradesh reflect resistance through episodic uprisings and ecological protest, Nagaland presents a more sustained and politically organized form of assertion. This diversity illustrates the adaptability of tribal responses to colonial and postcolonial pressures across geographical and historical contexts.</w:t>
      </w:r>
    </w:p>
    <w:p w14:paraId="5309DAD3" w14:textId="77777777" w:rsidR="003934E1" w:rsidRDefault="00000000">
      <w:pPr>
        <w:numPr>
          <w:ilvl w:val="0"/>
          <w:numId w:val="20"/>
        </w:num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Gender dynamics also varied across regions. In Jharkhand and MP, women were central to logistical and spiritual aspects of resistance. In Nagaland, their participation extended into leadership and </w:t>
      </w:r>
      <w:proofErr w:type="spellStart"/>
      <w:r>
        <w:rPr>
          <w:rFonts w:ascii="Times New Roman" w:eastAsia="Times New Roman" w:hAnsi="Times New Roman" w:cs="Times New Roman"/>
        </w:rPr>
        <w:t>peacemaking</w:t>
      </w:r>
      <w:proofErr w:type="spellEnd"/>
      <w:r>
        <w:rPr>
          <w:rFonts w:ascii="Times New Roman" w:eastAsia="Times New Roman" w:hAnsi="Times New Roman" w:cs="Times New Roman"/>
        </w:rPr>
        <w:t xml:space="preserve"> roles, suggesting that gendered engagement was shaped by both community norms and the nature of the </w:t>
      </w:r>
      <w:proofErr w:type="spellStart"/>
      <w:r>
        <w:rPr>
          <w:rFonts w:ascii="Times New Roman" w:eastAsia="Times New Roman" w:hAnsi="Times New Roman" w:cs="Times New Roman"/>
        </w:rPr>
        <w:t>resistance.There</w:t>
      </w:r>
      <w:proofErr w:type="spellEnd"/>
      <w:r>
        <w:rPr>
          <w:rFonts w:ascii="Times New Roman" w:eastAsia="Times New Roman" w:hAnsi="Times New Roman" w:cs="Times New Roman"/>
        </w:rPr>
        <w:t xml:space="preserve"> is a strong intergenerational transmission of resistance values through informal community education.</w:t>
      </w:r>
    </w:p>
    <w:p w14:paraId="3C1CBBF3" w14:textId="77777777" w:rsidR="003934E1" w:rsidRDefault="003934E1">
      <w:pPr>
        <w:spacing w:after="160" w:line="259" w:lineRule="auto"/>
        <w:rPr>
          <w:rFonts w:ascii="Times New Roman" w:eastAsia="Times New Roman" w:hAnsi="Times New Roman" w:cs="Times New Roman"/>
          <w:b/>
          <w:sz w:val="22"/>
          <w:szCs w:val="22"/>
        </w:rPr>
      </w:pPr>
    </w:p>
    <w:p w14:paraId="35633750" w14:textId="77777777" w:rsidR="003934E1"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Thematic Patterns:</w:t>
      </w:r>
    </w:p>
    <w:p w14:paraId="3A4DD054" w14:textId="77777777" w:rsidR="003934E1" w:rsidRDefault="00000000">
      <w:pPr>
        <w:numPr>
          <w:ilvl w:val="0"/>
          <w:numId w:val="11"/>
        </w:numPr>
        <w:spacing w:after="160" w:line="259" w:lineRule="auto"/>
        <w:rPr>
          <w:rFonts w:ascii="Times New Roman" w:eastAsia="Times New Roman" w:hAnsi="Times New Roman" w:cs="Times New Roman"/>
        </w:rPr>
      </w:pPr>
      <w:r>
        <w:rPr>
          <w:rFonts w:ascii="Times New Roman" w:eastAsia="Times New Roman" w:hAnsi="Times New Roman" w:cs="Times New Roman"/>
        </w:rPr>
        <w:t>Spiritual Resistance: Resistance is intertwined with spiritual cosmologies. Forests, rivers, and mountains are personified and treated as sentient. Tribal myths often depict nature as divine, and deforestation or mining is seen as sacrilegious. This belief fuels resistance, rooted not only in economics but in religious duty.</w:t>
      </w:r>
    </w:p>
    <w:p w14:paraId="563DFF4E" w14:textId="77777777" w:rsidR="003934E1" w:rsidRDefault="00000000">
      <w:pPr>
        <w:numPr>
          <w:ilvl w:val="0"/>
          <w:numId w:val="11"/>
        </w:numPr>
        <w:spacing w:after="160" w:line="259" w:lineRule="auto"/>
        <w:rPr>
          <w:rFonts w:ascii="Times New Roman" w:eastAsia="Times New Roman" w:hAnsi="Times New Roman" w:cs="Times New Roman"/>
        </w:rPr>
      </w:pPr>
      <w:r>
        <w:rPr>
          <w:rFonts w:ascii="Times New Roman" w:eastAsia="Times New Roman" w:hAnsi="Times New Roman" w:cs="Times New Roman"/>
        </w:rPr>
        <w:t>Social Justice and Redistribution: Tribal revolts often demanded not only autonomy but also social equity—resisting casteism, moneylenders, and land grabs. In many uprisings, such as the Santhal Hul, the call was for an egalitarian social order where exploitative intermediaries were overthrown, and land was returned to the tillers.</w:t>
      </w:r>
    </w:p>
    <w:p w14:paraId="2378368B" w14:textId="77777777" w:rsidR="003934E1" w:rsidRDefault="00000000">
      <w:pPr>
        <w:numPr>
          <w:ilvl w:val="0"/>
          <w:numId w:val="11"/>
        </w:numPr>
        <w:spacing w:after="160" w:line="259" w:lineRule="auto"/>
        <w:rPr>
          <w:rFonts w:ascii="Times New Roman" w:eastAsia="Times New Roman" w:hAnsi="Times New Roman" w:cs="Times New Roman"/>
        </w:rPr>
      </w:pPr>
      <w:r>
        <w:rPr>
          <w:rFonts w:ascii="Times New Roman" w:eastAsia="Times New Roman" w:hAnsi="Times New Roman" w:cs="Times New Roman"/>
        </w:rPr>
        <w:t>Orality and Cultural Memory: Songs about Birsa Munda, war dances, and festival speeches function as oral archives. These oral narratives encode historical events, moral teachings, and collective memories, and are passed down through generations, especially in the absence of written records.</w:t>
      </w:r>
    </w:p>
    <w:p w14:paraId="55D138DA" w14:textId="77777777" w:rsidR="003934E1" w:rsidRDefault="00000000">
      <w:pPr>
        <w:numPr>
          <w:ilvl w:val="0"/>
          <w:numId w:val="11"/>
        </w:numPr>
        <w:spacing w:after="160" w:line="259" w:lineRule="auto"/>
        <w:rPr>
          <w:rFonts w:ascii="Times New Roman" w:eastAsia="Times New Roman" w:hAnsi="Times New Roman" w:cs="Times New Roman"/>
        </w:rPr>
      </w:pPr>
      <w:r>
        <w:rPr>
          <w:rFonts w:ascii="Times New Roman" w:eastAsia="Times New Roman" w:hAnsi="Times New Roman" w:cs="Times New Roman"/>
        </w:rPr>
        <w:t>Gendered Participation: Although less documented, women’s roles were repeatedly mentioned—as cultural preservers, informal educators, and mobilizers. Women played active roles in communication, logistics, and even direct resistance. Their invisibility in mainstream accounts contrasts sharply with their prominence in community memory.</w:t>
      </w:r>
    </w:p>
    <w:p w14:paraId="567EF28A" w14:textId="77777777" w:rsidR="003934E1" w:rsidRDefault="00000000">
      <w:pPr>
        <w:numPr>
          <w:ilvl w:val="0"/>
          <w:numId w:val="11"/>
        </w:numPr>
        <w:spacing w:after="160" w:line="259" w:lineRule="auto"/>
        <w:rPr>
          <w:rFonts w:ascii="Times New Roman" w:eastAsia="Times New Roman" w:hAnsi="Times New Roman" w:cs="Times New Roman"/>
        </w:rPr>
      </w:pPr>
      <w:r>
        <w:rPr>
          <w:rFonts w:ascii="Times New Roman" w:eastAsia="Times New Roman" w:hAnsi="Times New Roman" w:cs="Times New Roman"/>
        </w:rPr>
        <w:t>Community Governance and Consensus: Tribal resistance often relied on indigenous governance systems rooted in councils (</w:t>
      </w:r>
      <w:proofErr w:type="spellStart"/>
      <w:r>
        <w:rPr>
          <w:rFonts w:ascii="Times New Roman" w:eastAsia="Times New Roman" w:hAnsi="Times New Roman" w:cs="Times New Roman"/>
        </w:rPr>
        <w:t>panchs</w:t>
      </w:r>
      <w:proofErr w:type="spellEnd"/>
      <w:r>
        <w:rPr>
          <w:rFonts w:ascii="Times New Roman" w:eastAsia="Times New Roman" w:hAnsi="Times New Roman" w:cs="Times New Roman"/>
        </w:rPr>
        <w:t>), elders' assemblies, and spiritual mediators. These traditional systems provided an organized framework for decision-making, strategy formation, and conflict resolution.</w:t>
      </w:r>
    </w:p>
    <w:p w14:paraId="5F2B6ED3" w14:textId="77777777" w:rsidR="003934E1" w:rsidRDefault="00000000">
      <w:pPr>
        <w:numPr>
          <w:ilvl w:val="0"/>
          <w:numId w:val="11"/>
        </w:num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Identity Assertion and Cultural Symbols: Resistance was often symbolized by the revival or protection of cultural elements—traditional attire, totems, languages, and religious rituals. These symbols served as rallying points for collective identity, particularly during times of crisis and mobilization.</w:t>
      </w:r>
    </w:p>
    <w:p w14:paraId="20477490" w14:textId="77777777" w:rsidR="003934E1" w:rsidRDefault="00000000">
      <w:pPr>
        <w:numPr>
          <w:ilvl w:val="0"/>
          <w:numId w:val="11"/>
        </w:numPr>
        <w:spacing w:after="160" w:line="259" w:lineRule="auto"/>
        <w:rPr>
          <w:rFonts w:ascii="Times New Roman" w:eastAsia="Times New Roman" w:hAnsi="Times New Roman" w:cs="Times New Roman"/>
        </w:rPr>
      </w:pPr>
      <w:r>
        <w:rPr>
          <w:rFonts w:ascii="Times New Roman" w:eastAsia="Times New Roman" w:hAnsi="Times New Roman" w:cs="Times New Roman"/>
        </w:rPr>
        <w:t>Syncretic Resistance Strategies: Tribal resistance often combined spiritual belief, armed struggle, and socio-political mobilization. Movements were adaptive, combining prayers and prophecies with practical strategies like economic boycott, sabotage, or direct confrontation with colonial authorities.</w:t>
      </w:r>
    </w:p>
    <w:p w14:paraId="704F7EF8"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This qualitative analysis reaffirms that tribal resistance movements cannot be reduced to isolated uprisings. They represent sustained, spiritually motivated, and culturally embedded struggles for self-determination. The regional variations only add to the depth and diversity of tribal engagements with power and identity.</w:t>
      </w:r>
    </w:p>
    <w:p w14:paraId="34C6D4F3" w14:textId="77777777" w:rsidR="003934E1" w:rsidRDefault="003934E1">
      <w:pPr>
        <w:spacing w:after="160" w:line="259" w:lineRule="auto"/>
        <w:rPr>
          <w:rFonts w:ascii="Times New Roman" w:eastAsia="Times New Roman" w:hAnsi="Times New Roman" w:cs="Times New Roman"/>
          <w:b/>
          <w:sz w:val="22"/>
          <w:szCs w:val="22"/>
        </w:rPr>
      </w:pPr>
    </w:p>
    <w:p w14:paraId="4AE4347C" w14:textId="77777777" w:rsidR="003934E1"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Findings and Results</w:t>
      </w:r>
    </w:p>
    <w:p w14:paraId="2FBE5A74" w14:textId="77777777" w:rsidR="003934E1" w:rsidRDefault="00000000">
      <w:pPr>
        <w:numPr>
          <w:ilvl w:val="0"/>
          <w:numId w:val="14"/>
        </w:numPr>
        <w:spacing w:after="160" w:line="259" w:lineRule="auto"/>
        <w:rPr>
          <w:rFonts w:ascii="Times New Roman" w:eastAsia="Times New Roman" w:hAnsi="Times New Roman" w:cs="Times New Roman"/>
        </w:rPr>
      </w:pPr>
      <w:r>
        <w:rPr>
          <w:rFonts w:ascii="Times New Roman" w:eastAsia="Times New Roman" w:hAnsi="Times New Roman" w:cs="Times New Roman"/>
        </w:rPr>
        <w:t>Historical Neglect: Tribal movements remain peripheral in India’s historical canon despite their significant impact. The fieldwork revealed that many respondents felt a deep sense of exclusion from national narratives taught in schools and portrayed in mainstream media. This sense of marginalization is perpetuated by the limited inclusion of tribal histories in formal education, leading to generational disconnects and identity struggles among tribal youth.</w:t>
      </w:r>
    </w:p>
    <w:p w14:paraId="34A0F313" w14:textId="77777777" w:rsidR="003934E1" w:rsidRDefault="00000000">
      <w:pPr>
        <w:numPr>
          <w:ilvl w:val="0"/>
          <w:numId w:val="14"/>
        </w:numPr>
        <w:spacing w:after="160" w:line="259" w:lineRule="auto"/>
        <w:rPr>
          <w:rFonts w:ascii="Times New Roman" w:eastAsia="Times New Roman" w:hAnsi="Times New Roman" w:cs="Times New Roman"/>
        </w:rPr>
      </w:pPr>
      <w:r>
        <w:rPr>
          <w:rFonts w:ascii="Times New Roman" w:eastAsia="Times New Roman" w:hAnsi="Times New Roman" w:cs="Times New Roman"/>
        </w:rPr>
        <w:t>Cultural Continuity and Revitalization: Tribal rituals, songs, and festivals continue to serve as living archives, preserving the memory of resistance and affirming identity. For example, the reenactments of the Santhal Hul during annual fairs and the celebration of Birsa Munda Jayanti in Jharkhand function as both cultural events and acts of historical reclamation. In Nagaland, the Hornbill Festival not only showcases cultural diversity but also educates younger generations about ancestral struggles and values. Interviewees highlighted how storytelling, drumming, and ritual songs are still used as pedagogical tools in tribal education.</w:t>
      </w:r>
    </w:p>
    <w:p w14:paraId="1D99FF10" w14:textId="77777777" w:rsidR="003934E1" w:rsidRDefault="00000000">
      <w:pPr>
        <w:numPr>
          <w:ilvl w:val="0"/>
          <w:numId w:val="14"/>
        </w:numPr>
        <w:spacing w:after="160" w:line="259" w:lineRule="auto"/>
        <w:rPr>
          <w:rFonts w:ascii="Times New Roman" w:eastAsia="Times New Roman" w:hAnsi="Times New Roman" w:cs="Times New Roman"/>
        </w:rPr>
      </w:pPr>
      <w:r>
        <w:rPr>
          <w:rFonts w:ascii="Times New Roman" w:eastAsia="Times New Roman" w:hAnsi="Times New Roman" w:cs="Times New Roman"/>
        </w:rPr>
        <w:t>Local Leadership and Decentralized Resistance: Resistance was often decentralized and community-driven, demonstrating a grassroots approach to nation-building. The study found that leadership structures in tribal revolts were often collective, with clan elders, shamans, and women playing key roles in mobilization. This decentralized form of organization allowed resistance to adapt to local contexts, making it harder for colonial powers to suppress.</w:t>
      </w:r>
    </w:p>
    <w:p w14:paraId="37DAD684" w14:textId="77777777" w:rsidR="003934E1" w:rsidRDefault="00000000">
      <w:pPr>
        <w:numPr>
          <w:ilvl w:val="0"/>
          <w:numId w:val="14"/>
        </w:numPr>
        <w:spacing w:after="160" w:line="259" w:lineRule="auto"/>
        <w:rPr>
          <w:rFonts w:ascii="Times New Roman" w:eastAsia="Times New Roman" w:hAnsi="Times New Roman" w:cs="Times New Roman"/>
        </w:rPr>
      </w:pPr>
      <w:r>
        <w:rPr>
          <w:rFonts w:ascii="Times New Roman" w:eastAsia="Times New Roman" w:hAnsi="Times New Roman" w:cs="Times New Roman"/>
        </w:rPr>
        <w:t>Spiritual-Ecological Resistance: Many resistance movements were intertwined with ecological values and spiritual beliefs. Forests, rivers, and hills are not just resources but sacred spaces in tribal cosmology. The Gond elders in Madhya Pradesh emphasized that their opposition to British forest laws was rooted in the belief that the forest is a divine mother, not a commodity. This spiritual framing of resistance challenges modern developmental paradigms that prioritize extraction over conservation.</w:t>
      </w:r>
    </w:p>
    <w:p w14:paraId="6164474A" w14:textId="77777777" w:rsidR="003934E1" w:rsidRDefault="00000000">
      <w:pPr>
        <w:numPr>
          <w:ilvl w:val="0"/>
          <w:numId w:val="14"/>
        </w:numPr>
        <w:spacing w:after="160" w:line="259" w:lineRule="auto"/>
        <w:rPr>
          <w:rFonts w:ascii="Times New Roman" w:eastAsia="Times New Roman" w:hAnsi="Times New Roman" w:cs="Times New Roman"/>
        </w:rPr>
      </w:pPr>
      <w:r>
        <w:rPr>
          <w:rFonts w:ascii="Times New Roman" w:eastAsia="Times New Roman" w:hAnsi="Times New Roman" w:cs="Times New Roman"/>
        </w:rPr>
        <w:lastRenderedPageBreak/>
        <w:t>National Relevance and Contemporary Resonance: Tribal struggles indirectly influenced mainstream independence movements and continue to shape policy debates on autonomy and rights. The idea of “</w:t>
      </w:r>
      <w:proofErr w:type="spellStart"/>
      <w:r>
        <w:rPr>
          <w:rFonts w:ascii="Times New Roman" w:eastAsia="Times New Roman" w:hAnsi="Times New Roman" w:cs="Times New Roman"/>
        </w:rPr>
        <w:t>Abua</w:t>
      </w:r>
      <w:proofErr w:type="spellEnd"/>
      <w:r>
        <w:rPr>
          <w:rFonts w:ascii="Times New Roman" w:eastAsia="Times New Roman" w:hAnsi="Times New Roman" w:cs="Times New Roman"/>
        </w:rPr>
        <w:t xml:space="preserve"> Raj” (our rule) popularized by Birsa Munda parallels Gandhian concepts of self-rule and decentralization. Furthermore, contemporary debates on tribal autonomy, reservation, and environmental justice often draw upon historical narratives of resistance, thereby linking past movements with current political demands.</w:t>
      </w:r>
    </w:p>
    <w:p w14:paraId="5F0FCAB5" w14:textId="77777777" w:rsidR="003934E1" w:rsidRDefault="00000000">
      <w:pPr>
        <w:numPr>
          <w:ilvl w:val="0"/>
          <w:numId w:val="14"/>
        </w:numPr>
        <w:spacing w:after="160" w:line="259" w:lineRule="auto"/>
        <w:rPr>
          <w:rFonts w:ascii="Times New Roman" w:eastAsia="Times New Roman" w:hAnsi="Times New Roman" w:cs="Times New Roman"/>
        </w:rPr>
      </w:pPr>
      <w:r>
        <w:rPr>
          <w:rFonts w:ascii="Times New Roman" w:eastAsia="Times New Roman" w:hAnsi="Times New Roman" w:cs="Times New Roman"/>
        </w:rPr>
        <w:t>Gendered Dimensions of Resistance: Though often overlooked, women have played crucial roles in tribal resistance movements. The research uncovered accounts of tribal women acting as couriers, healers, and even front-line fighters during uprisings. In the oral testimonies from Nagaland, women were described as preservers of culture, guardians of oral history, and mediators in community decision-making.</w:t>
      </w:r>
    </w:p>
    <w:p w14:paraId="7BE06003" w14:textId="77777777" w:rsidR="003934E1" w:rsidRDefault="00000000">
      <w:pPr>
        <w:numPr>
          <w:ilvl w:val="0"/>
          <w:numId w:val="14"/>
        </w:numPr>
        <w:spacing w:after="160" w:line="259" w:lineRule="auto"/>
        <w:rPr>
          <w:rFonts w:ascii="Times New Roman" w:eastAsia="Times New Roman" w:hAnsi="Times New Roman" w:cs="Times New Roman"/>
        </w:rPr>
      </w:pPr>
      <w:r>
        <w:rPr>
          <w:rFonts w:ascii="Times New Roman" w:eastAsia="Times New Roman" w:hAnsi="Times New Roman" w:cs="Times New Roman"/>
        </w:rPr>
        <w:t>Educational Aspirations and Historical Consciousness: The study found a growing desire among tribal youth to reconnect with their histories. Many young respondents expressed frustration over the lack of representation in textbooks and emphasized the importance of integrating tribal heroes and movements into the educational curriculum. Some tribal schools and NGOs have begun designing alternative syllabi to teach history from an indigenous perspective.</w:t>
      </w:r>
    </w:p>
    <w:p w14:paraId="69D04042" w14:textId="77777777" w:rsidR="003934E1" w:rsidRDefault="00000000">
      <w:pPr>
        <w:numPr>
          <w:ilvl w:val="0"/>
          <w:numId w:val="14"/>
        </w:numPr>
        <w:spacing w:after="160" w:line="259" w:lineRule="auto"/>
        <w:rPr>
          <w:rFonts w:ascii="Times New Roman" w:eastAsia="Times New Roman" w:hAnsi="Times New Roman" w:cs="Times New Roman"/>
        </w:rPr>
      </w:pPr>
      <w:r>
        <w:rPr>
          <w:rFonts w:ascii="Times New Roman" w:eastAsia="Times New Roman" w:hAnsi="Times New Roman" w:cs="Times New Roman"/>
        </w:rPr>
        <w:t>Policy Implications: The findings indicate that recognizing and incorporating tribal histories into national narratives is not merely an academic exercise—it is essential for inclusive policymaking. Tribal communities have unique approaches to governance, justice, and sustainability that can inform contemporary models of development. Acknowledging these contributions can help address long-standing issues related to alienation, underdevelopment, and cultural erosion.</w:t>
      </w:r>
    </w:p>
    <w:p w14:paraId="753E16D7" w14:textId="77777777" w:rsidR="003934E1" w:rsidRDefault="003934E1">
      <w:pPr>
        <w:spacing w:after="160" w:line="259" w:lineRule="auto"/>
        <w:rPr>
          <w:rFonts w:ascii="Times New Roman" w:eastAsia="Times New Roman" w:hAnsi="Times New Roman" w:cs="Times New Roman"/>
          <w:b/>
          <w:sz w:val="22"/>
          <w:szCs w:val="22"/>
        </w:rPr>
      </w:pPr>
    </w:p>
    <w:p w14:paraId="69FF2167" w14:textId="77777777" w:rsidR="003934E1"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Conclusion : </w:t>
      </w:r>
    </w:p>
    <w:p w14:paraId="7BB14A73"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The tribal thread in India’s history is neither fringe nor supplementary. It is central to understanding the plurality of India’s nationhood. Acknowledging the contributions of tribal communities allows for a richer, more inclusive national identity that values diversity, sustainability, and resilience. This inclusion does not only </w:t>
      </w:r>
      <w:proofErr w:type="spellStart"/>
      <w:r>
        <w:rPr>
          <w:rFonts w:ascii="Times New Roman" w:eastAsia="Times New Roman" w:hAnsi="Times New Roman" w:cs="Times New Roman"/>
        </w:rPr>
        <w:t>honor</w:t>
      </w:r>
      <w:proofErr w:type="spellEnd"/>
      <w:r>
        <w:rPr>
          <w:rFonts w:ascii="Times New Roman" w:eastAsia="Times New Roman" w:hAnsi="Times New Roman" w:cs="Times New Roman"/>
        </w:rPr>
        <w:t xml:space="preserve"> the legacy of tribal leaders and movements, but it also challenges the homogenized narratives that have long dominated Indian historiography. Recognizing tribal contributions offers an alternative perspective on the making of modern India—one rooted in grassroots resistance, ecological wisdom, and cultural pluralism. It reminds us that the essence of India’s democracy lies in its ability to embrace and protect its most marginalized voices, thereby ensuring a more holistic and just nation-building process.</w:t>
      </w:r>
    </w:p>
    <w:p w14:paraId="5B821C68" w14:textId="77777777" w:rsidR="003934E1" w:rsidRDefault="003934E1">
      <w:pPr>
        <w:spacing w:after="160" w:line="259" w:lineRule="auto"/>
        <w:rPr>
          <w:rFonts w:ascii="Times New Roman" w:eastAsia="Times New Roman" w:hAnsi="Times New Roman" w:cs="Times New Roman"/>
          <w:b/>
          <w:sz w:val="22"/>
          <w:szCs w:val="22"/>
        </w:rPr>
      </w:pPr>
    </w:p>
    <w:p w14:paraId="29889A93" w14:textId="77777777" w:rsidR="003934E1"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Recommendations:</w:t>
      </w:r>
    </w:p>
    <w:p w14:paraId="789EB63E" w14:textId="77777777" w:rsidR="003934E1" w:rsidRDefault="00000000">
      <w:pPr>
        <w:numPr>
          <w:ilvl w:val="0"/>
          <w:numId w:val="22"/>
        </w:num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Curricular Reform: Revise school and university curricula at all levels to incorporate detailed and accurate accounts of tribal histories, heroes, and contributions. Textbooks </w:t>
      </w:r>
      <w:r>
        <w:rPr>
          <w:rFonts w:ascii="Times New Roman" w:eastAsia="Times New Roman" w:hAnsi="Times New Roman" w:cs="Times New Roman"/>
        </w:rPr>
        <w:lastRenderedPageBreak/>
        <w:t xml:space="preserve">should highlight figures such as Birsa Munda, </w:t>
      </w:r>
      <w:proofErr w:type="spellStart"/>
      <w:r>
        <w:rPr>
          <w:rFonts w:ascii="Times New Roman" w:eastAsia="Times New Roman" w:hAnsi="Times New Roman" w:cs="Times New Roman"/>
        </w:rPr>
        <w:t>Sidho-Kanho</w:t>
      </w:r>
      <w:proofErr w:type="spellEnd"/>
      <w:r>
        <w:rPr>
          <w:rFonts w:ascii="Times New Roman" w:eastAsia="Times New Roman" w:hAnsi="Times New Roman" w:cs="Times New Roman"/>
        </w:rPr>
        <w:t xml:space="preserve">, and A.Z. </w:t>
      </w:r>
      <w:proofErr w:type="spellStart"/>
      <w:r>
        <w:rPr>
          <w:rFonts w:ascii="Times New Roman" w:eastAsia="Times New Roman" w:hAnsi="Times New Roman" w:cs="Times New Roman"/>
        </w:rPr>
        <w:t>Phizo</w:t>
      </w:r>
      <w:proofErr w:type="spellEnd"/>
      <w:r>
        <w:rPr>
          <w:rFonts w:ascii="Times New Roman" w:eastAsia="Times New Roman" w:hAnsi="Times New Roman" w:cs="Times New Roman"/>
        </w:rPr>
        <w:t>, while contextualizing their movements within broader historical narratives.</w:t>
      </w:r>
    </w:p>
    <w:p w14:paraId="7BC2553E" w14:textId="77777777" w:rsidR="003934E1" w:rsidRDefault="00000000">
      <w:pPr>
        <w:numPr>
          <w:ilvl w:val="0"/>
          <w:numId w:val="22"/>
        </w:num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Tribal Heritage </w:t>
      </w:r>
      <w:proofErr w:type="spellStart"/>
      <w:r>
        <w:rPr>
          <w:rFonts w:ascii="Times New Roman" w:eastAsia="Times New Roman" w:hAnsi="Times New Roman" w:cs="Times New Roman"/>
        </w:rPr>
        <w:t>Centers</w:t>
      </w:r>
      <w:proofErr w:type="spellEnd"/>
      <w:r>
        <w:rPr>
          <w:rFonts w:ascii="Times New Roman" w:eastAsia="Times New Roman" w:hAnsi="Times New Roman" w:cs="Times New Roman"/>
        </w:rPr>
        <w:t xml:space="preserve">: Establish well-funded tribal heritage and cultural research </w:t>
      </w:r>
      <w:proofErr w:type="spellStart"/>
      <w:r>
        <w:rPr>
          <w:rFonts w:ascii="Times New Roman" w:eastAsia="Times New Roman" w:hAnsi="Times New Roman" w:cs="Times New Roman"/>
        </w:rPr>
        <w:t>centers</w:t>
      </w:r>
      <w:proofErr w:type="spellEnd"/>
      <w:r>
        <w:rPr>
          <w:rFonts w:ascii="Times New Roman" w:eastAsia="Times New Roman" w:hAnsi="Times New Roman" w:cs="Times New Roman"/>
        </w:rPr>
        <w:t xml:space="preserve"> in strategic locations such as Ranchi, Mandla, and Kohima. These </w:t>
      </w:r>
      <w:proofErr w:type="spellStart"/>
      <w:r>
        <w:rPr>
          <w:rFonts w:ascii="Times New Roman" w:eastAsia="Times New Roman" w:hAnsi="Times New Roman" w:cs="Times New Roman"/>
        </w:rPr>
        <w:t>centers</w:t>
      </w:r>
      <w:proofErr w:type="spellEnd"/>
      <w:r>
        <w:rPr>
          <w:rFonts w:ascii="Times New Roman" w:eastAsia="Times New Roman" w:hAnsi="Times New Roman" w:cs="Times New Roman"/>
        </w:rPr>
        <w:t xml:space="preserve"> should serve as repositories of tribal folklore, oral histories, artifacts, and indigenous knowledge systems, and act as hubs for academic research, tourism, and community outreach.</w:t>
      </w:r>
    </w:p>
    <w:p w14:paraId="694D1AF1" w14:textId="77777777" w:rsidR="003934E1" w:rsidRDefault="00000000">
      <w:pPr>
        <w:numPr>
          <w:ilvl w:val="0"/>
          <w:numId w:val="22"/>
        </w:numPr>
        <w:spacing w:after="160" w:line="259" w:lineRule="auto"/>
        <w:rPr>
          <w:rFonts w:ascii="Times New Roman" w:eastAsia="Times New Roman" w:hAnsi="Times New Roman" w:cs="Times New Roman"/>
        </w:rPr>
      </w:pPr>
      <w:r>
        <w:rPr>
          <w:rFonts w:ascii="Times New Roman" w:eastAsia="Times New Roman" w:hAnsi="Times New Roman" w:cs="Times New Roman"/>
        </w:rPr>
        <w:t>Oral History Documentation: Launch national-level oral history projects focused on tribal communities. These efforts should include audio-visual recordings of folk songs, legends, stories of resistance, and spiritual practices to preserve them for future generations and facilitate intergenerational learning.</w:t>
      </w:r>
    </w:p>
    <w:p w14:paraId="4E0F6D49" w14:textId="77777777" w:rsidR="003934E1" w:rsidRDefault="00000000">
      <w:pPr>
        <w:numPr>
          <w:ilvl w:val="0"/>
          <w:numId w:val="22"/>
        </w:numPr>
        <w:spacing w:after="160" w:line="259" w:lineRule="auto"/>
        <w:rPr>
          <w:rFonts w:ascii="Times New Roman" w:eastAsia="Times New Roman" w:hAnsi="Times New Roman" w:cs="Times New Roman"/>
        </w:rPr>
      </w:pPr>
      <w:r>
        <w:rPr>
          <w:rFonts w:ascii="Times New Roman" w:eastAsia="Times New Roman" w:hAnsi="Times New Roman" w:cs="Times New Roman"/>
        </w:rPr>
        <w:t>Land and Resource Rights: Implement stronger policy frameworks to safeguard tribal land and forest rights. This includes enforcing the Forest Rights Act (2006) more rigorously, recognizing community forest governance, and protecting tribes from displacement due to industrial or infrastructural development.</w:t>
      </w:r>
    </w:p>
    <w:p w14:paraId="40E06C46" w14:textId="77777777" w:rsidR="003934E1" w:rsidRDefault="00000000">
      <w:pPr>
        <w:numPr>
          <w:ilvl w:val="0"/>
          <w:numId w:val="22"/>
        </w:numPr>
        <w:spacing w:after="160" w:line="259" w:lineRule="auto"/>
        <w:rPr>
          <w:rFonts w:ascii="Times New Roman" w:eastAsia="Times New Roman" w:hAnsi="Times New Roman" w:cs="Times New Roman"/>
        </w:rPr>
      </w:pPr>
      <w:r>
        <w:rPr>
          <w:rFonts w:ascii="Times New Roman" w:eastAsia="Times New Roman" w:hAnsi="Times New Roman" w:cs="Times New Roman"/>
        </w:rPr>
        <w:t>Inclusive Governance: Promote greater representation of tribal voices in political and administrative institutions at local, state, and national levels. Encourage the inclusion of traditional tribal governance practices within the formal democratic framework, allowing space for alternative models of justice and consensus-building.</w:t>
      </w:r>
    </w:p>
    <w:p w14:paraId="7CA6A2B3" w14:textId="77777777" w:rsidR="003934E1" w:rsidRDefault="00000000">
      <w:pPr>
        <w:numPr>
          <w:ilvl w:val="0"/>
          <w:numId w:val="22"/>
        </w:numPr>
        <w:spacing w:after="160" w:line="259" w:lineRule="auto"/>
        <w:rPr>
          <w:rFonts w:ascii="Times New Roman" w:eastAsia="Times New Roman" w:hAnsi="Times New Roman" w:cs="Times New Roman"/>
        </w:rPr>
      </w:pPr>
      <w:r>
        <w:rPr>
          <w:rFonts w:ascii="Times New Roman" w:eastAsia="Times New Roman" w:hAnsi="Times New Roman" w:cs="Times New Roman"/>
        </w:rPr>
        <w:t>Language and Cultural Preservation: Support linguistic diversity by preserving and promoting tribal languages through school instruction, literary documentation, and digital archiving. Language is a carrier of culture, and its protection is essential to sustaining tribal worldviews.</w:t>
      </w:r>
    </w:p>
    <w:p w14:paraId="1FBCB519" w14:textId="77777777" w:rsidR="003934E1" w:rsidRDefault="00000000">
      <w:pPr>
        <w:numPr>
          <w:ilvl w:val="0"/>
          <w:numId w:val="22"/>
        </w:numPr>
        <w:spacing w:after="160" w:line="259" w:lineRule="auto"/>
        <w:rPr>
          <w:rFonts w:ascii="Times New Roman" w:eastAsia="Times New Roman" w:hAnsi="Times New Roman" w:cs="Times New Roman"/>
        </w:rPr>
      </w:pPr>
      <w:r>
        <w:rPr>
          <w:rFonts w:ascii="Times New Roman" w:eastAsia="Times New Roman" w:hAnsi="Times New Roman" w:cs="Times New Roman"/>
        </w:rPr>
        <w:t>Funding and Scholarships: Allocate targeted funding for tribal youth to pursue higher education, research, and cultural documentation projects. Scholarships, fellowships, and mentorship programs should be expanded to include tribal students from marginalized areas.</w:t>
      </w:r>
    </w:p>
    <w:p w14:paraId="257C5487" w14:textId="77777777" w:rsidR="003934E1" w:rsidRDefault="00000000">
      <w:pPr>
        <w:numPr>
          <w:ilvl w:val="0"/>
          <w:numId w:val="22"/>
        </w:numPr>
        <w:spacing w:after="160" w:line="259" w:lineRule="auto"/>
        <w:rPr>
          <w:rFonts w:ascii="Times New Roman" w:eastAsia="Times New Roman" w:hAnsi="Times New Roman" w:cs="Times New Roman"/>
        </w:rPr>
      </w:pPr>
      <w:r>
        <w:rPr>
          <w:rFonts w:ascii="Times New Roman" w:eastAsia="Times New Roman" w:hAnsi="Times New Roman" w:cs="Times New Roman"/>
        </w:rPr>
        <w:t>Public Awareness Campaigns: Run national awareness campaigns through radio, television, and social media to sensitize the general public about tribal cultures, struggles, and contributions. Storytelling formats, community events, and mobile exhibitions can be used to bridge the gap between urban and indigenous populations.</w:t>
      </w:r>
    </w:p>
    <w:p w14:paraId="2DC38DB8" w14:textId="77777777" w:rsidR="003934E1" w:rsidRDefault="00000000">
      <w:pPr>
        <w:numPr>
          <w:ilvl w:val="0"/>
          <w:numId w:val="22"/>
        </w:numPr>
        <w:spacing w:after="160" w:line="259" w:lineRule="auto"/>
        <w:rPr>
          <w:rFonts w:ascii="Times New Roman" w:eastAsia="Times New Roman" w:hAnsi="Times New Roman" w:cs="Times New Roman"/>
        </w:rPr>
      </w:pPr>
      <w:r>
        <w:rPr>
          <w:rFonts w:ascii="Times New Roman" w:eastAsia="Times New Roman" w:hAnsi="Times New Roman" w:cs="Times New Roman"/>
        </w:rPr>
        <w:t>Decolonizing Historical Discourse: Encourage academia, especially in the disciplines of history, sociology, and anthropology, to adopt decolonial and intersectional approaches that foreground indigenous perspectives. Tribal histories must not be treated as peripheral footnotes but recognized as vital components of India’s civilizational journey.</w:t>
      </w:r>
    </w:p>
    <w:p w14:paraId="42209B0B"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Through these multi-pronged recommendations, the paper advocates for a transformation in how tribal narratives are remembered, represented, and integrated within the national imagination.</w:t>
      </w:r>
    </w:p>
    <w:p w14:paraId="77E8CE9B" w14:textId="77777777" w:rsidR="003934E1" w:rsidRDefault="00000000">
      <w:pPr>
        <w:spacing w:after="160" w:line="259" w:lineRule="auto"/>
        <w:rPr>
          <w:rFonts w:ascii="Times New Roman" w:eastAsia="Times New Roman" w:hAnsi="Times New Roman" w:cs="Times New Roman"/>
          <w:b/>
          <w:sz w:val="22"/>
          <w:szCs w:val="22"/>
        </w:rPr>
      </w:pPr>
      <w:r>
        <w:br w:type="page"/>
      </w:r>
    </w:p>
    <w:p w14:paraId="394B19CE" w14:textId="77777777" w:rsidR="003934E1" w:rsidRDefault="003934E1">
      <w:pPr>
        <w:spacing w:after="160" w:line="259" w:lineRule="auto"/>
        <w:rPr>
          <w:rFonts w:ascii="Times New Roman" w:eastAsia="Times New Roman" w:hAnsi="Times New Roman" w:cs="Times New Roman"/>
          <w:b/>
          <w:sz w:val="22"/>
          <w:szCs w:val="22"/>
        </w:rPr>
      </w:pPr>
    </w:p>
    <w:p w14:paraId="1129B34E" w14:textId="77777777" w:rsidR="003934E1" w:rsidRDefault="003934E1">
      <w:pPr>
        <w:spacing w:after="160" w:line="259" w:lineRule="auto"/>
        <w:rPr>
          <w:rFonts w:ascii="Times New Roman" w:eastAsia="Times New Roman" w:hAnsi="Times New Roman" w:cs="Times New Roman"/>
          <w:sz w:val="22"/>
          <w:szCs w:val="22"/>
        </w:rPr>
      </w:pPr>
    </w:p>
    <w:p w14:paraId="07D0650C" w14:textId="77777777" w:rsidR="003934E1" w:rsidRDefault="00000000">
      <w:pPr>
        <w:spacing w:after="160" w:line="259"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References</w:t>
      </w:r>
    </w:p>
    <w:p w14:paraId="60C12931"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Guha, R. (1999). </w:t>
      </w:r>
      <w:r>
        <w:rPr>
          <w:rFonts w:ascii="Times New Roman" w:eastAsia="Times New Roman" w:hAnsi="Times New Roman" w:cs="Times New Roman"/>
          <w:i/>
        </w:rPr>
        <w:t>Savaging the civilized: Verrier Elwin, his tribals and India</w:t>
      </w:r>
      <w:r>
        <w:rPr>
          <w:rFonts w:ascii="Times New Roman" w:eastAsia="Times New Roman" w:hAnsi="Times New Roman" w:cs="Times New Roman"/>
        </w:rPr>
        <w:t>. Penguin Books India.</w:t>
      </w:r>
    </w:p>
    <w:p w14:paraId="6D56209A"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Elwin, V. (1955). </w:t>
      </w:r>
      <w:r>
        <w:rPr>
          <w:rFonts w:ascii="Times New Roman" w:eastAsia="Times New Roman" w:hAnsi="Times New Roman" w:cs="Times New Roman"/>
          <w:i/>
        </w:rPr>
        <w:t>The religion of an Indian tribe</w:t>
      </w:r>
      <w:r>
        <w:rPr>
          <w:rFonts w:ascii="Times New Roman" w:eastAsia="Times New Roman" w:hAnsi="Times New Roman" w:cs="Times New Roman"/>
        </w:rPr>
        <w:t>. Oxford University Press.</w:t>
      </w:r>
    </w:p>
    <w:p w14:paraId="1C2DB20D"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Prasad, A. (2003). </w:t>
      </w:r>
      <w:r>
        <w:rPr>
          <w:rFonts w:ascii="Times New Roman" w:eastAsia="Times New Roman" w:hAnsi="Times New Roman" w:cs="Times New Roman"/>
          <w:i/>
        </w:rPr>
        <w:t>Against ecological romanticism: Verrier Elwin and the making of an anti-modern tribal identity</w:t>
      </w:r>
      <w:r>
        <w:rPr>
          <w:rFonts w:ascii="Times New Roman" w:eastAsia="Times New Roman" w:hAnsi="Times New Roman" w:cs="Times New Roman"/>
        </w:rPr>
        <w:t>. Three Essays Collective.</w:t>
      </w:r>
    </w:p>
    <w:p w14:paraId="20146B2D"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Shah, A. (2010). </w:t>
      </w:r>
      <w:r>
        <w:rPr>
          <w:rFonts w:ascii="Times New Roman" w:eastAsia="Times New Roman" w:hAnsi="Times New Roman" w:cs="Times New Roman"/>
          <w:i/>
        </w:rPr>
        <w:t>In the shadows of the state: Indigenous politics, environmentalism, and insurgency in Jharkhand, India</w:t>
      </w:r>
      <w:r>
        <w:rPr>
          <w:rFonts w:ascii="Times New Roman" w:eastAsia="Times New Roman" w:hAnsi="Times New Roman" w:cs="Times New Roman"/>
        </w:rPr>
        <w:t>. Duke University Press.</w:t>
      </w:r>
    </w:p>
    <w:p w14:paraId="4A6057A4"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 xml:space="preserve">Fernandes, W. (2006). </w:t>
      </w:r>
      <w:r>
        <w:rPr>
          <w:rFonts w:ascii="Times New Roman" w:eastAsia="Times New Roman" w:hAnsi="Times New Roman" w:cs="Times New Roman"/>
          <w:i/>
        </w:rPr>
        <w:t>Tribal rights in India: A sociological perspective</w:t>
      </w:r>
      <w:r>
        <w:rPr>
          <w:rFonts w:ascii="Times New Roman" w:eastAsia="Times New Roman" w:hAnsi="Times New Roman" w:cs="Times New Roman"/>
        </w:rPr>
        <w:t>. Indian Social Institute.</w:t>
      </w:r>
    </w:p>
    <w:p w14:paraId="6D0F148E"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National Archives of India. (2025). Archival records accessed in March-April 2025 from the National Archives, New Delhi.</w:t>
      </w:r>
    </w:p>
    <w:p w14:paraId="76946D97" w14:textId="77777777" w:rsidR="003934E1" w:rsidRDefault="00000000">
      <w:pPr>
        <w:spacing w:after="160" w:line="259" w:lineRule="auto"/>
        <w:rPr>
          <w:rFonts w:ascii="Times New Roman" w:eastAsia="Times New Roman" w:hAnsi="Times New Roman" w:cs="Times New Roman"/>
        </w:rPr>
      </w:pPr>
      <w:r>
        <w:rPr>
          <w:rFonts w:ascii="Times New Roman" w:eastAsia="Times New Roman" w:hAnsi="Times New Roman" w:cs="Times New Roman"/>
        </w:rPr>
        <w:t>Field Interviews. (2025). Oral testimonies collected from Jharkhand, Madhya Pradesh, and Nagaland during March-April 2025.</w:t>
      </w:r>
    </w:p>
    <w:p w14:paraId="373D2A2D" w14:textId="77777777" w:rsidR="003934E1" w:rsidRDefault="003934E1">
      <w:pPr>
        <w:spacing w:after="160" w:line="259" w:lineRule="auto"/>
        <w:rPr>
          <w:rFonts w:ascii="Times New Roman" w:eastAsia="Times New Roman" w:hAnsi="Times New Roman" w:cs="Times New Roman"/>
        </w:rPr>
      </w:pPr>
    </w:p>
    <w:p w14:paraId="4087BE9D" w14:textId="77777777" w:rsidR="003934E1" w:rsidRDefault="003934E1">
      <w:pPr>
        <w:spacing w:before="280" w:after="280" w:line="360" w:lineRule="auto"/>
        <w:jc w:val="both"/>
        <w:rPr>
          <w:rFonts w:ascii="Times New Roman" w:eastAsia="Times New Roman" w:hAnsi="Times New Roman" w:cs="Times New Roman"/>
        </w:rPr>
      </w:pPr>
    </w:p>
    <w:p w14:paraId="32A864B4" w14:textId="77777777" w:rsidR="003934E1" w:rsidRDefault="003934E1">
      <w:pPr>
        <w:spacing w:before="280" w:after="280" w:line="360" w:lineRule="auto"/>
        <w:jc w:val="both"/>
        <w:rPr>
          <w:rFonts w:ascii="Times New Roman" w:eastAsia="Times New Roman" w:hAnsi="Times New Roman" w:cs="Times New Roman"/>
        </w:rPr>
      </w:pPr>
    </w:p>
    <w:p w14:paraId="012C14CD" w14:textId="77777777" w:rsidR="003934E1" w:rsidRDefault="003934E1">
      <w:pPr>
        <w:spacing w:before="280" w:after="280" w:line="360" w:lineRule="auto"/>
        <w:jc w:val="both"/>
        <w:rPr>
          <w:rFonts w:ascii="Times New Roman" w:eastAsia="Times New Roman" w:hAnsi="Times New Roman" w:cs="Times New Roman"/>
        </w:rPr>
      </w:pPr>
    </w:p>
    <w:p w14:paraId="1326B3EC" w14:textId="77777777" w:rsidR="003934E1" w:rsidRDefault="003934E1">
      <w:pPr>
        <w:spacing w:before="280" w:after="280" w:line="360" w:lineRule="auto"/>
        <w:jc w:val="both"/>
        <w:rPr>
          <w:rFonts w:ascii="Times New Roman" w:eastAsia="Times New Roman" w:hAnsi="Times New Roman" w:cs="Times New Roman"/>
        </w:rPr>
      </w:pPr>
    </w:p>
    <w:p w14:paraId="4ED12818" w14:textId="77777777" w:rsidR="003934E1" w:rsidRDefault="003934E1">
      <w:pPr>
        <w:spacing w:before="280" w:after="280" w:line="360" w:lineRule="auto"/>
        <w:jc w:val="both"/>
        <w:rPr>
          <w:rFonts w:ascii="Times New Roman" w:eastAsia="Times New Roman" w:hAnsi="Times New Roman" w:cs="Times New Roman"/>
        </w:rPr>
      </w:pPr>
    </w:p>
    <w:p w14:paraId="48FC1160" w14:textId="77777777" w:rsidR="003934E1" w:rsidRDefault="003934E1">
      <w:pPr>
        <w:spacing w:before="280" w:after="280" w:line="360" w:lineRule="auto"/>
        <w:jc w:val="both"/>
        <w:rPr>
          <w:rFonts w:ascii="Times New Roman" w:eastAsia="Times New Roman" w:hAnsi="Times New Roman" w:cs="Times New Roman"/>
        </w:rPr>
      </w:pPr>
    </w:p>
    <w:p w14:paraId="09335A48" w14:textId="77777777" w:rsidR="003934E1" w:rsidRDefault="003934E1">
      <w:pPr>
        <w:spacing w:before="280" w:after="280" w:line="360" w:lineRule="auto"/>
        <w:jc w:val="both"/>
        <w:rPr>
          <w:rFonts w:ascii="Times New Roman" w:eastAsia="Times New Roman" w:hAnsi="Times New Roman" w:cs="Times New Roman"/>
        </w:rPr>
      </w:pPr>
    </w:p>
    <w:p w14:paraId="121B3DCC" w14:textId="77777777" w:rsidR="003934E1" w:rsidRDefault="003934E1">
      <w:pPr>
        <w:spacing w:before="280" w:after="280" w:line="360" w:lineRule="auto"/>
        <w:jc w:val="both"/>
        <w:rPr>
          <w:rFonts w:ascii="Times New Roman" w:eastAsia="Times New Roman" w:hAnsi="Times New Roman" w:cs="Times New Roman"/>
        </w:rPr>
      </w:pPr>
    </w:p>
    <w:p w14:paraId="3A1E7315" w14:textId="77777777" w:rsidR="003934E1" w:rsidRDefault="003934E1">
      <w:pPr>
        <w:spacing w:before="280" w:after="280" w:line="360" w:lineRule="auto"/>
        <w:jc w:val="both"/>
        <w:rPr>
          <w:rFonts w:ascii="Times New Roman" w:eastAsia="Times New Roman" w:hAnsi="Times New Roman" w:cs="Times New Roman"/>
        </w:rPr>
      </w:pPr>
    </w:p>
    <w:p w14:paraId="3D31BA68" w14:textId="77777777" w:rsidR="003934E1" w:rsidRDefault="003934E1">
      <w:pPr>
        <w:spacing w:before="280" w:after="280" w:line="360" w:lineRule="auto"/>
        <w:jc w:val="both"/>
        <w:rPr>
          <w:rFonts w:ascii="Times New Roman" w:eastAsia="Times New Roman" w:hAnsi="Times New Roman" w:cs="Times New Roman"/>
        </w:rPr>
      </w:pPr>
    </w:p>
    <w:p w14:paraId="37C8F016" w14:textId="77777777" w:rsidR="003934E1" w:rsidRDefault="003934E1">
      <w:pPr>
        <w:spacing w:before="280" w:after="280" w:line="360" w:lineRule="auto"/>
        <w:jc w:val="both"/>
        <w:rPr>
          <w:rFonts w:ascii="Times New Roman" w:eastAsia="Times New Roman" w:hAnsi="Times New Roman" w:cs="Times New Roman"/>
        </w:rPr>
      </w:pPr>
    </w:p>
    <w:p w14:paraId="32AF60B2" w14:textId="77777777" w:rsidR="003934E1" w:rsidRDefault="00000000">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Tribal Resistance in Late Eighteenth Century Jungle Mahals</w:t>
      </w:r>
    </w:p>
    <w:p w14:paraId="0D1D6B4D" w14:textId="77777777" w:rsidR="003934E1" w:rsidRDefault="003934E1">
      <w:pPr>
        <w:spacing w:line="360" w:lineRule="auto"/>
        <w:rPr>
          <w:rFonts w:ascii="Times New Roman" w:eastAsia="Times New Roman" w:hAnsi="Times New Roman" w:cs="Times New Roman"/>
        </w:rPr>
      </w:pPr>
    </w:p>
    <w:p w14:paraId="3CAA2C42" w14:textId="77777777" w:rsidR="003934E1" w:rsidRDefault="00000000">
      <w:pPr>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Dr. Asmita </w:t>
      </w:r>
      <w:proofErr w:type="spellStart"/>
      <w:r>
        <w:rPr>
          <w:rFonts w:ascii="Times New Roman" w:eastAsia="Times New Roman" w:hAnsi="Times New Roman" w:cs="Times New Roman"/>
          <w:i/>
        </w:rPr>
        <w:t>Khalkho</w:t>
      </w:r>
      <w:proofErr w:type="spellEnd"/>
    </w:p>
    <w:p w14:paraId="6770BE29" w14:textId="77777777" w:rsidR="003934E1" w:rsidRDefault="00000000">
      <w:pPr>
        <w:spacing w:line="360" w:lineRule="auto"/>
        <w:jc w:val="center"/>
        <w:rPr>
          <w:rFonts w:ascii="Times New Roman" w:eastAsia="Times New Roman" w:hAnsi="Times New Roman" w:cs="Times New Roman"/>
          <w:i/>
        </w:rPr>
      </w:pPr>
      <w:r>
        <w:rPr>
          <w:rFonts w:ascii="Times New Roman" w:eastAsia="Times New Roman" w:hAnsi="Times New Roman" w:cs="Times New Roman"/>
          <w:i/>
        </w:rPr>
        <w:t>Assistant Professor, Post Graduate Department of History, Magadh University, Bodhgaya, Bihar</w:t>
      </w:r>
    </w:p>
    <w:p w14:paraId="6B3C1118" w14:textId="77777777" w:rsidR="003934E1" w:rsidRDefault="00000000">
      <w:pPr>
        <w:spacing w:line="360" w:lineRule="auto"/>
        <w:jc w:val="center"/>
        <w:rPr>
          <w:rFonts w:ascii="Times New Roman" w:eastAsia="Times New Roman" w:hAnsi="Times New Roman" w:cs="Times New Roman"/>
          <w:i/>
        </w:rPr>
      </w:pPr>
      <w:r>
        <w:rPr>
          <w:rFonts w:ascii="Times New Roman" w:eastAsia="Times New Roman" w:hAnsi="Times New Roman" w:cs="Times New Roman"/>
          <w:i/>
        </w:rPr>
        <w:t xml:space="preserve">Mobile no:9899229509; Email id: </w:t>
      </w:r>
      <w:hyperlink r:id="rId100">
        <w:r w:rsidR="003934E1">
          <w:rPr>
            <w:rFonts w:ascii="Times New Roman" w:eastAsia="Times New Roman" w:hAnsi="Times New Roman" w:cs="Times New Roman"/>
            <w:i/>
            <w:color w:val="000080"/>
            <w:u w:val="single"/>
          </w:rPr>
          <w:t>khalkhoasmita@gmail.com</w:t>
        </w:r>
      </w:hyperlink>
      <w:r>
        <w:rPr>
          <w:rFonts w:ascii="Times New Roman" w:eastAsia="Times New Roman" w:hAnsi="Times New Roman" w:cs="Times New Roman"/>
          <w:i/>
        </w:rPr>
        <w:t xml:space="preserve"> </w:t>
      </w:r>
    </w:p>
    <w:p w14:paraId="7A68BCA0" w14:textId="77777777" w:rsidR="003934E1" w:rsidRDefault="003934E1">
      <w:pPr>
        <w:spacing w:line="360" w:lineRule="auto"/>
        <w:rPr>
          <w:rFonts w:ascii="Times New Roman" w:eastAsia="Times New Roman" w:hAnsi="Times New Roman" w:cs="Times New Roman"/>
        </w:rPr>
      </w:pPr>
    </w:p>
    <w:p w14:paraId="1F195085" w14:textId="77777777" w:rsidR="003934E1" w:rsidRDefault="00000000">
      <w:pPr>
        <w:spacing w:line="360" w:lineRule="auto"/>
        <w:jc w:val="center"/>
        <w:rPr>
          <w:rFonts w:ascii="Times New Roman" w:eastAsia="Times New Roman" w:hAnsi="Times New Roman" w:cs="Times New Roman"/>
          <w:b/>
        </w:rPr>
      </w:pPr>
      <w:r>
        <w:rPr>
          <w:rFonts w:ascii="Times New Roman" w:eastAsia="Times New Roman" w:hAnsi="Times New Roman" w:cs="Times New Roman"/>
          <w:b/>
        </w:rPr>
        <w:t>Abstract</w:t>
      </w:r>
    </w:p>
    <w:p w14:paraId="2932C4AD" w14:textId="77777777" w:rsidR="003934E1" w:rsidRDefault="003934E1">
      <w:pPr>
        <w:spacing w:line="360" w:lineRule="auto"/>
        <w:rPr>
          <w:rFonts w:ascii="Times New Roman" w:eastAsia="Times New Roman" w:hAnsi="Times New Roman" w:cs="Times New Roman"/>
        </w:rPr>
      </w:pPr>
    </w:p>
    <w:p w14:paraId="1BAFE9D5"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The distinct topography, environment and social structure of the Jungle Mahals had rendered its complete subjugation almost impossible under the Mughals. Despite its location as a buffer between the Mughal and the Maratha territories, the region represented an inner frontier that was within the ambit but beyond the effective governance of the Mughals. In 1765, however, when East India Company acquired Diwani rights, conscious attempts were made to bring this ‘unprofitable’ yet strategically important forested region under effective subjugation in order to safeguard the revenue generating fertile plains of Bengal and Bihar from Maratha onslaught. The process however was marked with several challenges. Attempts to subdue the region were met with strong resistance as inhabitants, who were predominantly tribals, considered this an infringement on their autonomy. Unlike their predecessor, the Mughals, who mostly followed a moderate and conciliatory approach to win the support of the forest dwellers but remained a somewhat distant political entity throughout; the Company followed an inclusive policy to bring this region under their immediate control. They adopted military as well as conciliatory and diplomatic approach to consolidate their power over the region. They also tried to ‘civilize’ the inhabitants to keep their so called ‘violent tendencies’ in check. Despite these methods the company struggled to establish a firm control over the Jungle Mahals and the entire transition period of late eighteenth century was marked by the struggles on the part of the inhabitants to resist and escape from the centralizing control of the Company. In this paper an attempt will therefore be made to look into the various strategies adopted by the inhabitants to resist the British subjugation of the Jungle Mahals; followed by an assessment with regard to the efficacy of the methods employed.</w:t>
      </w:r>
    </w:p>
    <w:p w14:paraId="46AA40B5" w14:textId="77777777" w:rsidR="003934E1" w:rsidRDefault="003934E1">
      <w:pPr>
        <w:spacing w:line="360" w:lineRule="auto"/>
        <w:jc w:val="both"/>
        <w:rPr>
          <w:rFonts w:ascii="Times New Roman" w:eastAsia="Times New Roman" w:hAnsi="Times New Roman" w:cs="Times New Roman"/>
        </w:rPr>
      </w:pPr>
    </w:p>
    <w:p w14:paraId="0C813FAA" w14:textId="77777777" w:rsidR="003934E1"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b/>
        </w:rPr>
        <w:lastRenderedPageBreak/>
        <w:t>Keywords:</w:t>
      </w:r>
      <w:r>
        <w:rPr>
          <w:rFonts w:ascii="Times New Roman" w:eastAsia="Times New Roman" w:hAnsi="Times New Roman" w:cs="Times New Roman"/>
        </w:rPr>
        <w:t xml:space="preserve"> Jungle Mahals, late eighteenth century transition, civilizing mission, tribe, banditry.</w:t>
      </w:r>
    </w:p>
    <w:p w14:paraId="5574236A" w14:textId="77777777" w:rsidR="003934E1" w:rsidRDefault="003934E1">
      <w:pPr>
        <w:spacing w:before="280" w:after="280" w:line="360" w:lineRule="auto"/>
        <w:jc w:val="both"/>
        <w:rPr>
          <w:rFonts w:ascii="Times New Roman" w:eastAsia="Times New Roman" w:hAnsi="Times New Roman" w:cs="Times New Roman"/>
        </w:rPr>
      </w:pPr>
    </w:p>
    <w:p w14:paraId="637F7E5C" w14:textId="77777777" w:rsidR="003934E1" w:rsidRDefault="003934E1">
      <w:pPr>
        <w:spacing w:before="280" w:after="280" w:line="360" w:lineRule="auto"/>
        <w:jc w:val="both"/>
        <w:rPr>
          <w:rFonts w:ascii="Times New Roman" w:eastAsia="Times New Roman" w:hAnsi="Times New Roman" w:cs="Times New Roman"/>
        </w:rPr>
      </w:pPr>
    </w:p>
    <w:p w14:paraId="2D1F7BFF" w14:textId="77777777" w:rsidR="003934E1" w:rsidRDefault="00000000">
      <w:pPr>
        <w:spacing w:after="16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Tribal Resistance in Late Eighteenth Century Jungle Mahals</w:t>
      </w:r>
    </w:p>
    <w:p w14:paraId="2BE4A0AF" w14:textId="77777777" w:rsidR="003934E1" w:rsidRDefault="00000000">
      <w:pPr>
        <w:spacing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Asmita </w:t>
      </w:r>
      <w:proofErr w:type="spellStart"/>
      <w:r>
        <w:rPr>
          <w:rFonts w:ascii="Times New Roman" w:eastAsia="Times New Roman" w:hAnsi="Times New Roman" w:cs="Times New Roman"/>
          <w:i/>
          <w:sz w:val="20"/>
          <w:szCs w:val="20"/>
        </w:rPr>
        <w:t>Khalkho</w:t>
      </w:r>
      <w:proofErr w:type="spellEnd"/>
    </w:p>
    <w:p w14:paraId="7CF51224" w14:textId="77777777" w:rsidR="003934E1" w:rsidRDefault="00000000">
      <w:pPr>
        <w:spacing w:line="360" w:lineRule="auto"/>
        <w:jc w:val="center"/>
        <w:rPr>
          <w:rFonts w:ascii="Times New Roman" w:eastAsia="Times New Roman" w:hAnsi="Times New Roman" w:cs="Times New Roman"/>
          <w:i/>
          <w:sz w:val="20"/>
          <w:szCs w:val="20"/>
        </w:rPr>
      </w:pPr>
      <w:r>
        <w:rPr>
          <w:rFonts w:ascii="Times New Roman" w:eastAsia="Times New Roman" w:hAnsi="Times New Roman" w:cs="Times New Roman"/>
          <w:i/>
          <w:sz w:val="20"/>
          <w:szCs w:val="20"/>
        </w:rPr>
        <w:t>Assistant Professor, Post Graduate Department of History, Magadh University, Bodhgaya, Bihar</w:t>
      </w:r>
    </w:p>
    <w:p w14:paraId="60C5F499" w14:textId="77777777" w:rsidR="003934E1" w:rsidRDefault="003934E1">
      <w:pPr>
        <w:spacing w:line="360" w:lineRule="auto"/>
        <w:jc w:val="center"/>
        <w:rPr>
          <w:rFonts w:ascii="Times New Roman" w:eastAsia="Times New Roman" w:hAnsi="Times New Roman" w:cs="Times New Roman"/>
          <w:i/>
          <w:sz w:val="20"/>
          <w:szCs w:val="20"/>
        </w:rPr>
      </w:pPr>
      <w:hyperlink r:id="rId101">
        <w:r>
          <w:rPr>
            <w:rFonts w:ascii="Times New Roman" w:eastAsia="Times New Roman" w:hAnsi="Times New Roman" w:cs="Times New Roman"/>
            <w:i/>
            <w:color w:val="0563C1"/>
            <w:sz w:val="20"/>
            <w:szCs w:val="20"/>
            <w:u w:val="single"/>
          </w:rPr>
          <w:t>khalkhoasmita@gmail.com</w:t>
        </w:r>
      </w:hyperlink>
    </w:p>
    <w:p w14:paraId="254585A6" w14:textId="77777777" w:rsidR="003934E1" w:rsidRDefault="003934E1">
      <w:pPr>
        <w:spacing w:line="360" w:lineRule="auto"/>
        <w:jc w:val="center"/>
        <w:rPr>
          <w:rFonts w:ascii="Times New Roman" w:eastAsia="Times New Roman" w:hAnsi="Times New Roman" w:cs="Times New Roman"/>
          <w:i/>
          <w:sz w:val="20"/>
          <w:szCs w:val="20"/>
        </w:rPr>
      </w:pPr>
    </w:p>
    <w:p w14:paraId="7724F2A4" w14:textId="77777777" w:rsidR="003934E1" w:rsidRDefault="003934E1">
      <w:pPr>
        <w:spacing w:line="360" w:lineRule="auto"/>
        <w:jc w:val="center"/>
        <w:rPr>
          <w:rFonts w:ascii="Times New Roman" w:eastAsia="Times New Roman" w:hAnsi="Times New Roman" w:cs="Times New Roman"/>
          <w:i/>
          <w:sz w:val="20"/>
          <w:szCs w:val="20"/>
        </w:rPr>
      </w:pPr>
    </w:p>
    <w:p w14:paraId="5F7D6667" w14:textId="77777777" w:rsidR="003934E1" w:rsidRDefault="003934E1">
      <w:pPr>
        <w:spacing w:line="360" w:lineRule="auto"/>
        <w:jc w:val="center"/>
        <w:rPr>
          <w:rFonts w:ascii="Times New Roman" w:eastAsia="Times New Roman" w:hAnsi="Times New Roman" w:cs="Times New Roman"/>
          <w:i/>
          <w:sz w:val="20"/>
          <w:szCs w:val="20"/>
        </w:rPr>
      </w:pPr>
    </w:p>
    <w:p w14:paraId="68CE5BC0" w14:textId="77777777" w:rsidR="003934E1" w:rsidRDefault="003934E1">
      <w:pPr>
        <w:spacing w:after="160" w:line="360" w:lineRule="auto"/>
        <w:rPr>
          <w:rFonts w:ascii="Times New Roman" w:eastAsia="Times New Roman" w:hAnsi="Times New Roman" w:cs="Times New Roman"/>
        </w:rPr>
      </w:pPr>
    </w:p>
    <w:p w14:paraId="4FA2C8E3" w14:textId="77777777" w:rsidR="003934E1" w:rsidRDefault="00000000">
      <w:pPr>
        <w:numPr>
          <w:ilvl w:val="0"/>
          <w:numId w:val="15"/>
        </w:numPr>
        <w:spacing w:after="160" w:line="360" w:lineRule="auto"/>
        <w:rPr>
          <w:rFonts w:ascii="Times New Roman" w:eastAsia="Times New Roman" w:hAnsi="Times New Roman" w:cs="Times New Roman"/>
          <w:b/>
        </w:rPr>
      </w:pPr>
      <w:r>
        <w:rPr>
          <w:rFonts w:ascii="Times New Roman" w:eastAsia="Times New Roman" w:hAnsi="Times New Roman" w:cs="Times New Roman"/>
          <w:b/>
        </w:rPr>
        <w:t>Introduction.</w:t>
      </w:r>
    </w:p>
    <w:p w14:paraId="33019B23"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b/>
        </w:rPr>
        <w:tab/>
      </w:r>
      <w:r>
        <w:rPr>
          <w:rFonts w:ascii="Times New Roman" w:eastAsia="Times New Roman" w:hAnsi="Times New Roman" w:cs="Times New Roman"/>
        </w:rPr>
        <w:t xml:space="preserve">The English East India Company (EIC) acquired </w:t>
      </w:r>
      <w:r>
        <w:rPr>
          <w:rFonts w:ascii="Times New Roman" w:eastAsia="Times New Roman" w:hAnsi="Times New Roman" w:cs="Times New Roman"/>
          <w:i/>
        </w:rPr>
        <w:t>Diwani</w:t>
      </w:r>
      <w:r>
        <w:rPr>
          <w:rFonts w:ascii="Times New Roman" w:eastAsia="Times New Roman" w:hAnsi="Times New Roman" w:cs="Times New Roman"/>
        </w:rPr>
        <w:t xml:space="preserve"> rights over Bengal, Bihar and Orissa in 1765 which authorized it to collect and appropriate revenue from the three provinces. As the new economic masters of the region, the company devised various method to manage the collections. In 1772, a Committee of Revenue was established and Collectors were appointed to supervise the collection. In 1773, the Committee of Revenue was replaced with Provincial Councils of Revenue following which the Collector along with four other members were appointed to oversee revenue management. Furthermore, the company conducted a series of experiments to determine the revenue paying capacity of the region. In 1769, the company sent supervisors in the </w:t>
      </w:r>
      <w:r>
        <w:rPr>
          <w:rFonts w:ascii="Times New Roman" w:eastAsia="Times New Roman" w:hAnsi="Times New Roman" w:cs="Times New Roman"/>
          <w:i/>
        </w:rPr>
        <w:t xml:space="preserve">Diwani </w:t>
      </w:r>
      <w:r>
        <w:rPr>
          <w:rFonts w:ascii="Times New Roman" w:eastAsia="Times New Roman" w:hAnsi="Times New Roman" w:cs="Times New Roman"/>
        </w:rPr>
        <w:t xml:space="preserve">areas and were instructed to gather information about the modes of settlement practiced in the districts and their efficiency in generating a revenue equivalent to the revenue of the land. The failure of the supervisors to collect the necessary information led to the introduction of the Outcry System in which an attempt was made to ascertain the value of land through revenue farming by public auction, followed by a lease of one year. The short duration of the lease however created more problem for the company as it not only restricted the farmers from making necessary investments in the farms but also forced them to extract as much as they could “with the hand of Tiger” (CCR, vol. 3). As a remedy, the company decided to extend the duration of the settlement by five years which culminated into what came to be known as the Farming Settlement. In 1790 the company introduced the </w:t>
      </w:r>
      <w:r>
        <w:rPr>
          <w:rFonts w:ascii="Times New Roman" w:eastAsia="Times New Roman" w:hAnsi="Times New Roman" w:cs="Times New Roman"/>
        </w:rPr>
        <w:lastRenderedPageBreak/>
        <w:t>Decennial Settlement which eventually transitioned into the Permanent Settlement of 1793. Besides the measures to put a system of revenue collection in place, it was also important to protect the fertile plains of the provinces from frequent incursions of the Marathas and the neighbouring forest zamindars. It was this concern to safeguard the revenue generating fertile plains of Bengal and Bihar which eventually brought the economically insignificant but strategically important region of Jungle Mahals into the focus of EIC.</w:t>
      </w:r>
      <w:r>
        <w:rPr>
          <w:rFonts w:ascii="Times New Roman" w:eastAsia="Times New Roman" w:hAnsi="Times New Roman" w:cs="Times New Roman"/>
        </w:rPr>
        <w:tab/>
      </w:r>
    </w:p>
    <w:p w14:paraId="5FA94C0E" w14:textId="77777777" w:rsidR="003934E1" w:rsidRDefault="00000000">
      <w:pPr>
        <w:numPr>
          <w:ilvl w:val="0"/>
          <w:numId w:val="15"/>
        </w:numPr>
        <w:spacing w:after="160" w:line="360" w:lineRule="auto"/>
        <w:jc w:val="both"/>
        <w:rPr>
          <w:rFonts w:ascii="Times New Roman" w:eastAsia="Times New Roman" w:hAnsi="Times New Roman" w:cs="Times New Roman"/>
          <w:b/>
        </w:rPr>
      </w:pPr>
      <w:r>
        <w:rPr>
          <w:rFonts w:ascii="Times New Roman" w:eastAsia="Times New Roman" w:hAnsi="Times New Roman" w:cs="Times New Roman"/>
          <w:b/>
        </w:rPr>
        <w:t>Jungle Mahals Before 1765</w:t>
      </w:r>
      <w:r>
        <w:rPr>
          <w:rFonts w:ascii="Times New Roman" w:eastAsia="Times New Roman" w:hAnsi="Times New Roman" w:cs="Times New Roman"/>
          <w:b/>
        </w:rPr>
        <w:tab/>
      </w:r>
    </w:p>
    <w:p w14:paraId="7CD793B8"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Jungle Mahals first emerged as a distinct historical region during the medieval period (K.S. Singh, 1983, pp. 255-256). During the Sultanate period it was referred to as Jharkhand and it roughly comprised the adjoining plateaus and hilly regions of Orissa, Bengal, Bihar and Madhya Pradesh. Later the term Jharkhand however came to be identified with modern day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The region was significant as it provided an alternative route to Bengal and Orissa through the forest and was used as an occasional passage by the troops. During the Mughal period, the region gained attention as the Afghans, who had settled down in Sasaram which could then be described as part of northern Jharkhand, continued to operate against the Mughals. Several expeditions were therefore carried out against them. In the process and subsequently, the Mughals also subjugated the forest principalities and reduced them to tributary status like the </w:t>
      </w:r>
      <w:proofErr w:type="spellStart"/>
      <w:r>
        <w:rPr>
          <w:rFonts w:ascii="Times New Roman" w:eastAsia="Times New Roman" w:hAnsi="Times New Roman" w:cs="Times New Roman"/>
        </w:rPr>
        <w:t>Nagbanshi</w:t>
      </w:r>
      <w:proofErr w:type="spellEnd"/>
      <w:r>
        <w:rPr>
          <w:rFonts w:ascii="Times New Roman" w:eastAsia="Times New Roman" w:hAnsi="Times New Roman" w:cs="Times New Roman"/>
        </w:rPr>
        <w:t xml:space="preserve"> Kingdom of </w:t>
      </w:r>
      <w:proofErr w:type="spellStart"/>
      <w:r>
        <w:rPr>
          <w:rFonts w:ascii="Times New Roman" w:eastAsia="Times New Roman" w:hAnsi="Times New Roman" w:cs="Times New Roman"/>
        </w:rPr>
        <w:t>Kokrah</w:t>
      </w:r>
      <w:proofErr w:type="spellEnd"/>
      <w:r>
        <w:rPr>
          <w:rFonts w:ascii="Times New Roman" w:eastAsia="Times New Roman" w:hAnsi="Times New Roman" w:cs="Times New Roman"/>
          <w:vertAlign w:val="superscript"/>
        </w:rPr>
        <w:footnoteReference w:id="92"/>
      </w:r>
      <w:r>
        <w:rPr>
          <w:rFonts w:ascii="Times New Roman" w:eastAsia="Times New Roman" w:hAnsi="Times New Roman" w:cs="Times New Roman"/>
        </w:rPr>
        <w:t xml:space="preserve"> (1585) and the Chero kingdom of </w:t>
      </w:r>
      <w:proofErr w:type="spellStart"/>
      <w:r>
        <w:rPr>
          <w:rFonts w:ascii="Times New Roman" w:eastAsia="Times New Roman" w:hAnsi="Times New Roman" w:cs="Times New Roman"/>
        </w:rPr>
        <w:t>Palamau</w:t>
      </w:r>
      <w:proofErr w:type="spellEnd"/>
      <w:r>
        <w:rPr>
          <w:rFonts w:ascii="Times New Roman" w:eastAsia="Times New Roman" w:hAnsi="Times New Roman" w:cs="Times New Roman"/>
        </w:rPr>
        <w:t xml:space="preserve"> (1661), the two most prominent principalities of the region. It was under the Mughals that the constituent regions of Jharkhand were placed under the jurisdiction of Mughal governors of Bihar and Bengal as per their location and proximity to the two subahs. The situation however began to change from the year 1740 onwards with the beginning of Maratha inroads into Bengal via Jharkhand. (</w:t>
      </w:r>
      <w:proofErr w:type="spellStart"/>
      <w:r>
        <w:rPr>
          <w:rFonts w:ascii="Times New Roman" w:eastAsia="Times New Roman" w:hAnsi="Times New Roman" w:cs="Times New Roman"/>
        </w:rPr>
        <w:t>Virottam</w:t>
      </w:r>
      <w:proofErr w:type="spellEnd"/>
      <w:r>
        <w:rPr>
          <w:rFonts w:ascii="Times New Roman" w:eastAsia="Times New Roman" w:hAnsi="Times New Roman" w:cs="Times New Roman"/>
        </w:rPr>
        <w:t xml:space="preserve">, 1972, p. 48).  In those days, the most direct route from Jharkhand to Nagpur lay through Chota Nagpur, </w:t>
      </w:r>
      <w:proofErr w:type="spellStart"/>
      <w:r>
        <w:rPr>
          <w:rFonts w:ascii="Times New Roman" w:eastAsia="Times New Roman" w:hAnsi="Times New Roman" w:cs="Times New Roman"/>
        </w:rPr>
        <w:t>Surguja</w:t>
      </w:r>
      <w:proofErr w:type="spellEnd"/>
      <w:r>
        <w:rPr>
          <w:rFonts w:ascii="Times New Roman" w:eastAsia="Times New Roman" w:hAnsi="Times New Roman" w:cs="Times New Roman"/>
        </w:rPr>
        <w:t>, Amarkantak and then to Nagpur.</w:t>
      </w:r>
      <w:r>
        <w:rPr>
          <w:rFonts w:ascii="Times New Roman" w:eastAsia="Times New Roman" w:hAnsi="Times New Roman" w:cs="Times New Roman"/>
          <w:highlight w:val="green"/>
        </w:rPr>
        <w:t xml:space="preserve"> </w:t>
      </w:r>
      <w:r>
        <w:rPr>
          <w:rFonts w:ascii="Times New Roman" w:eastAsia="Times New Roman" w:hAnsi="Times New Roman" w:cs="Times New Roman"/>
        </w:rPr>
        <w:t>(</w:t>
      </w:r>
      <w:proofErr w:type="spellStart"/>
      <w:r>
        <w:rPr>
          <w:rFonts w:ascii="Times New Roman" w:eastAsia="Times New Roman" w:hAnsi="Times New Roman" w:cs="Times New Roman"/>
        </w:rPr>
        <w:t>Virottam</w:t>
      </w:r>
      <w:proofErr w:type="spellEnd"/>
      <w:r>
        <w:rPr>
          <w:rFonts w:ascii="Times New Roman" w:eastAsia="Times New Roman" w:hAnsi="Times New Roman" w:cs="Times New Roman"/>
        </w:rPr>
        <w:t xml:space="preserve">, 1972, p. 49). In certain areas, the authority of the Mughal governors was replaced by the influence of the Marathas and certain territories like </w:t>
      </w:r>
      <w:proofErr w:type="spellStart"/>
      <w:r>
        <w:rPr>
          <w:rFonts w:ascii="Times New Roman" w:eastAsia="Times New Roman" w:hAnsi="Times New Roman" w:cs="Times New Roman"/>
        </w:rPr>
        <w:t>Kokrah</w:t>
      </w:r>
      <w:proofErr w:type="spellEnd"/>
      <w:r>
        <w:rPr>
          <w:rFonts w:ascii="Times New Roman" w:eastAsia="Times New Roman" w:hAnsi="Times New Roman" w:cs="Times New Roman"/>
        </w:rPr>
        <w:t xml:space="preserve"> were subjected to Maratha extortions which continued unabated till the first decade of the nineteenth century (</w:t>
      </w:r>
      <w:proofErr w:type="spellStart"/>
      <w:r>
        <w:rPr>
          <w:rFonts w:ascii="Times New Roman" w:eastAsia="Times New Roman" w:hAnsi="Times New Roman" w:cs="Times New Roman"/>
        </w:rPr>
        <w:t>Virottam</w:t>
      </w:r>
      <w:proofErr w:type="spellEnd"/>
      <w:r>
        <w:rPr>
          <w:rFonts w:ascii="Times New Roman" w:eastAsia="Times New Roman" w:hAnsi="Times New Roman" w:cs="Times New Roman"/>
        </w:rPr>
        <w:t xml:space="preserve">, 51). As the control of the Mughal governors further weakened, these forest </w:t>
      </w:r>
      <w:r>
        <w:rPr>
          <w:rFonts w:ascii="Times New Roman" w:eastAsia="Times New Roman" w:hAnsi="Times New Roman" w:cs="Times New Roman"/>
        </w:rPr>
        <w:lastRenderedPageBreak/>
        <w:t>principalities threw away the mask of nominal subservience to the Mughal subahs and grabbed the opportunity to expand and consolidate their position in the region.</w:t>
      </w:r>
      <w:r>
        <w:rPr>
          <w:rFonts w:ascii="Times New Roman" w:eastAsia="Times New Roman" w:hAnsi="Times New Roman" w:cs="Times New Roman"/>
          <w:vertAlign w:val="superscript"/>
        </w:rPr>
        <w:footnoteReference w:id="93"/>
      </w:r>
      <w:r>
        <w:rPr>
          <w:rFonts w:ascii="Times New Roman" w:eastAsia="Times New Roman" w:hAnsi="Times New Roman" w:cs="Times New Roman"/>
        </w:rPr>
        <w:t xml:space="preserve">  They also started making predatory incursions into the territories adjoining them. Under Nawab Mir Qasim, more than two-thirds of Birbhum continued to be assigned for the maintenance of troops, appointed to guard the frontiers from the inroads of the unsubdued chieftains of </w:t>
      </w:r>
      <w:proofErr w:type="spellStart"/>
      <w:r>
        <w:rPr>
          <w:rFonts w:ascii="Times New Roman" w:eastAsia="Times New Roman" w:hAnsi="Times New Roman" w:cs="Times New Roman"/>
        </w:rPr>
        <w:t>Palamu</w:t>
      </w:r>
      <w:proofErr w:type="spellEnd"/>
      <w:r>
        <w:rPr>
          <w:rFonts w:ascii="Times New Roman" w:eastAsia="Times New Roman" w:hAnsi="Times New Roman" w:cs="Times New Roman"/>
        </w:rPr>
        <w:t xml:space="preserve">, Ramgarh and </w:t>
      </w:r>
      <w:proofErr w:type="spellStart"/>
      <w:r>
        <w:rPr>
          <w:rFonts w:ascii="Times New Roman" w:eastAsia="Times New Roman" w:hAnsi="Times New Roman" w:cs="Times New Roman"/>
        </w:rPr>
        <w:t>Kharagdiha</w:t>
      </w:r>
      <w:proofErr w:type="spellEnd"/>
      <w:r>
        <w:rPr>
          <w:rFonts w:ascii="Times New Roman" w:eastAsia="Times New Roman" w:hAnsi="Times New Roman" w:cs="Times New Roman"/>
        </w:rPr>
        <w:t xml:space="preserve"> (in present day Hazaribagh district) (</w:t>
      </w:r>
      <w:proofErr w:type="spellStart"/>
      <w:r>
        <w:rPr>
          <w:rFonts w:ascii="Times New Roman" w:eastAsia="Times New Roman" w:hAnsi="Times New Roman" w:cs="Times New Roman"/>
        </w:rPr>
        <w:t>Firminger</w:t>
      </w:r>
      <w:proofErr w:type="spellEnd"/>
      <w:r>
        <w:rPr>
          <w:rFonts w:ascii="Times New Roman" w:eastAsia="Times New Roman" w:hAnsi="Times New Roman" w:cs="Times New Roman"/>
        </w:rPr>
        <w:t xml:space="preserve">, 1917, pp. 224, 249). Many of the neighbouring zamindaris particularly in Bengal like the Midnapur Raj and Burdwan Raj (WBSA, CR, vol. 55, Letter from Mr. Short, the Collector of </w:t>
      </w:r>
      <w:proofErr w:type="spellStart"/>
      <w:r>
        <w:rPr>
          <w:rFonts w:ascii="Times New Roman" w:eastAsia="Times New Roman" w:hAnsi="Times New Roman" w:cs="Times New Roman"/>
        </w:rPr>
        <w:t>Bogri</w:t>
      </w:r>
      <w:proofErr w:type="spellEnd"/>
      <w:r>
        <w:rPr>
          <w:rFonts w:ascii="Times New Roman" w:eastAsia="Times New Roman" w:hAnsi="Times New Roman" w:cs="Times New Roman"/>
        </w:rPr>
        <w:t>, p. 205) also extended their sway over the region by incorporating some of these areas within their zamindari. Owing to the chaotic conditions in Bihar and Bengal, the subahdars had no time to re-establish their control over them which resulted in some of them being referred to as ‘dismembered territory’ in the Mughal documents. (</w:t>
      </w:r>
      <w:proofErr w:type="spellStart"/>
      <w:r>
        <w:rPr>
          <w:rFonts w:ascii="Times New Roman" w:eastAsia="Times New Roman" w:hAnsi="Times New Roman" w:cs="Times New Roman"/>
        </w:rPr>
        <w:t>Virottam</w:t>
      </w:r>
      <w:proofErr w:type="spellEnd"/>
      <w:r>
        <w:rPr>
          <w:rFonts w:ascii="Times New Roman" w:eastAsia="Times New Roman" w:hAnsi="Times New Roman" w:cs="Times New Roman"/>
        </w:rPr>
        <w:t xml:space="preserve">, 1972, p. 52). However, in 1765 when the EIC acquired the </w:t>
      </w:r>
      <w:r>
        <w:rPr>
          <w:rFonts w:ascii="Times New Roman" w:eastAsia="Times New Roman" w:hAnsi="Times New Roman" w:cs="Times New Roman"/>
          <w:i/>
        </w:rPr>
        <w:t>Diwani</w:t>
      </w:r>
      <w:r>
        <w:rPr>
          <w:rFonts w:ascii="Times New Roman" w:eastAsia="Times New Roman" w:hAnsi="Times New Roman" w:cs="Times New Roman"/>
        </w:rPr>
        <w:t>, it considered Jharkhand liable to the payment of revenue to the company as it was still assumed to form part of Bihar and Bengal.</w:t>
      </w:r>
    </w:p>
    <w:p w14:paraId="754AE37D" w14:textId="77777777" w:rsidR="003934E1" w:rsidRDefault="00000000">
      <w:pPr>
        <w:numPr>
          <w:ilvl w:val="0"/>
          <w:numId w:val="15"/>
        </w:numPr>
        <w:spacing w:after="160" w:line="360" w:lineRule="auto"/>
        <w:jc w:val="both"/>
        <w:rPr>
          <w:rFonts w:ascii="Times New Roman" w:eastAsia="Times New Roman" w:hAnsi="Times New Roman" w:cs="Times New Roman"/>
          <w:b/>
        </w:rPr>
      </w:pPr>
      <w:r>
        <w:rPr>
          <w:rFonts w:ascii="Times New Roman" w:eastAsia="Times New Roman" w:hAnsi="Times New Roman" w:cs="Times New Roman"/>
          <w:b/>
        </w:rPr>
        <w:t>Jungle Mahals After 1765</w:t>
      </w:r>
    </w:p>
    <w:p w14:paraId="550636F5"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Jungle Mahal, as a term came into usage with the coming of EIC. According to O’Malley, Jungle Mahals was a “vague term applied in the 18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to the British possessions and some dependent chiefdoms lying between Birbhum, Bankura, Midnapore and the hilly country of Chota Nagpur” (O’Malley, 1908, p. 42) which formed “a connecting link between the plains of Bengal on the east and the Chota Nagpur plateau in the west” (O’Malley, 1908, p. 2). The region extending from Kharagpur hills on the west to </w:t>
      </w:r>
      <w:proofErr w:type="spellStart"/>
      <w:r>
        <w:rPr>
          <w:rFonts w:ascii="Times New Roman" w:eastAsia="Times New Roman" w:hAnsi="Times New Roman" w:cs="Times New Roman"/>
        </w:rPr>
        <w:t>Rajmahal</w:t>
      </w:r>
      <w:proofErr w:type="spellEnd"/>
      <w:r>
        <w:rPr>
          <w:rFonts w:ascii="Times New Roman" w:eastAsia="Times New Roman" w:hAnsi="Times New Roman" w:cs="Times New Roman"/>
        </w:rPr>
        <w:t xml:space="preserve"> Hills on the east, and from Bhagalpur plains on the north to Ramgarh, Pachet and Birbhum in the south was constituted as a separate division and was known as Jungle Tarai in 1772 ( Jha and Sinha, 1996, p. A-36). However, in 1780, the division of Jungle Tarai was dissolved and its constituent districts were distributed between </w:t>
      </w:r>
      <w:proofErr w:type="spellStart"/>
      <w:r>
        <w:rPr>
          <w:rFonts w:ascii="Times New Roman" w:eastAsia="Times New Roman" w:hAnsi="Times New Roman" w:cs="Times New Roman"/>
        </w:rPr>
        <w:t>Ramgur</w:t>
      </w:r>
      <w:proofErr w:type="spellEnd"/>
      <w:r>
        <w:rPr>
          <w:rFonts w:ascii="Times New Roman" w:eastAsia="Times New Roman" w:hAnsi="Times New Roman" w:cs="Times New Roman"/>
        </w:rPr>
        <w:t>, Bhagalpur and Birbhum. For the entire eighteenth century, the arrangement of these jungle principalities was subjected to constant change as they were often transferred from one district to another for administrative convenience.</w:t>
      </w:r>
      <w:r>
        <w:rPr>
          <w:rFonts w:ascii="Times New Roman" w:eastAsia="Times New Roman" w:hAnsi="Times New Roman" w:cs="Times New Roman"/>
          <w:vertAlign w:val="superscript"/>
        </w:rPr>
        <w:footnoteReference w:id="94"/>
      </w:r>
      <w:r>
        <w:rPr>
          <w:rFonts w:ascii="Times New Roman" w:eastAsia="Times New Roman" w:hAnsi="Times New Roman" w:cs="Times New Roman"/>
        </w:rPr>
        <w:t xml:space="preserve"> </w:t>
      </w:r>
    </w:p>
    <w:p w14:paraId="6A773B47"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Jungle Mahals was different from the rest of the possession of the EIC not only in terms of its geography, but also in terms of its population. Located on the edge of the plain countries of Bengal and Bihar, it represented a “world of hills and of the ‘tribals’, the </w:t>
      </w:r>
      <w:proofErr w:type="spellStart"/>
      <w:r>
        <w:rPr>
          <w:rFonts w:ascii="Times New Roman" w:eastAsia="Times New Roman" w:hAnsi="Times New Roman" w:cs="Times New Roman"/>
        </w:rPr>
        <w:t>adivasis</w:t>
      </w:r>
      <w:proofErr w:type="spellEnd"/>
      <w:r>
        <w:rPr>
          <w:rFonts w:ascii="Times New Roman" w:eastAsia="Times New Roman" w:hAnsi="Times New Roman" w:cs="Times New Roman"/>
        </w:rPr>
        <w:t xml:space="preserve"> or first settlers, most of whom had not been assimilated into the Hindu or Muslim society” (Marshall, 1987, p.42). With the establishment of forest principalities in the Jungle Mahals there had been a constant influx of other castes and Muslims during the medieval period. Yet the tribal population in the Jungle Mahals was quite predominant in the eighteenth century. In certain areas the relation between the tribes and other castes was quite cordial. When Cheros established their rule in </w:t>
      </w:r>
      <w:proofErr w:type="spellStart"/>
      <w:r>
        <w:rPr>
          <w:rFonts w:ascii="Times New Roman" w:eastAsia="Times New Roman" w:hAnsi="Times New Roman" w:cs="Times New Roman"/>
        </w:rPr>
        <w:t>Palamu</w:t>
      </w:r>
      <w:proofErr w:type="spellEnd"/>
      <w:r>
        <w:rPr>
          <w:rFonts w:ascii="Times New Roman" w:eastAsia="Times New Roman" w:hAnsi="Times New Roman" w:cs="Times New Roman"/>
        </w:rPr>
        <w:t xml:space="preserve"> in 17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the population of </w:t>
      </w:r>
      <w:proofErr w:type="spellStart"/>
      <w:r>
        <w:rPr>
          <w:rFonts w:ascii="Times New Roman" w:eastAsia="Times New Roman" w:hAnsi="Times New Roman" w:cs="Times New Roman"/>
        </w:rPr>
        <w:t>Palamu</w:t>
      </w:r>
      <w:proofErr w:type="spellEnd"/>
      <w:r>
        <w:rPr>
          <w:rFonts w:ascii="Times New Roman" w:eastAsia="Times New Roman" w:hAnsi="Times New Roman" w:cs="Times New Roman"/>
        </w:rPr>
        <w:t xml:space="preserve"> consisted of </w:t>
      </w:r>
      <w:proofErr w:type="spellStart"/>
      <w:r>
        <w:rPr>
          <w:rFonts w:ascii="Times New Roman" w:eastAsia="Times New Roman" w:hAnsi="Times New Roman" w:cs="Times New Roman"/>
          <w:i/>
        </w:rPr>
        <w:t>Kharwars</w:t>
      </w:r>
      <w:proofErr w:type="spellEnd"/>
      <w:r>
        <w:rPr>
          <w:rFonts w:ascii="Times New Roman" w:eastAsia="Times New Roman" w:hAnsi="Times New Roman" w:cs="Times New Roman"/>
          <w:i/>
        </w:rPr>
        <w:t xml:space="preserve">, Gonds, Mars, </w:t>
      </w:r>
      <w:proofErr w:type="spellStart"/>
      <w:r>
        <w:rPr>
          <w:rFonts w:ascii="Times New Roman" w:eastAsia="Times New Roman" w:hAnsi="Times New Roman" w:cs="Times New Roman"/>
          <w:i/>
        </w:rPr>
        <w:t>Korwas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Parhaiyas</w:t>
      </w:r>
      <w:proofErr w:type="spellEnd"/>
      <w:r>
        <w:rPr>
          <w:rFonts w:ascii="Times New Roman" w:eastAsia="Times New Roman" w:hAnsi="Times New Roman" w:cs="Times New Roman"/>
        </w:rPr>
        <w:t xml:space="preserve"> and </w:t>
      </w:r>
      <w:r>
        <w:rPr>
          <w:rFonts w:ascii="Times New Roman" w:eastAsia="Times New Roman" w:hAnsi="Times New Roman" w:cs="Times New Roman"/>
          <w:i/>
        </w:rPr>
        <w:t>Kisans.</w:t>
      </w:r>
      <w:r>
        <w:rPr>
          <w:rFonts w:ascii="Times New Roman" w:eastAsia="Times New Roman" w:hAnsi="Times New Roman" w:cs="Times New Roman"/>
        </w:rPr>
        <w:t xml:space="preserve"> Of these, </w:t>
      </w:r>
      <w:proofErr w:type="spellStart"/>
      <w:r>
        <w:rPr>
          <w:rFonts w:ascii="Times New Roman" w:eastAsia="Times New Roman" w:hAnsi="Times New Roman" w:cs="Times New Roman"/>
          <w:i/>
        </w:rPr>
        <w:t>Kharwars</w:t>
      </w:r>
      <w:proofErr w:type="spellEnd"/>
      <w:r>
        <w:rPr>
          <w:rFonts w:ascii="Times New Roman" w:eastAsia="Times New Roman" w:hAnsi="Times New Roman" w:cs="Times New Roman"/>
        </w:rPr>
        <w:t xml:space="preserve"> were most numerous and Cheros adopted a conciliatory approach towards them and allowed them to remain in peaceful possession of the hill tracts bordering on </w:t>
      </w:r>
      <w:proofErr w:type="spellStart"/>
      <w:r>
        <w:rPr>
          <w:rFonts w:ascii="Times New Roman" w:eastAsia="Times New Roman" w:hAnsi="Times New Roman" w:cs="Times New Roman"/>
        </w:rPr>
        <w:t>Surguja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Virottam</w:t>
      </w:r>
      <w:proofErr w:type="spellEnd"/>
      <w:r>
        <w:rPr>
          <w:rFonts w:ascii="Times New Roman" w:eastAsia="Times New Roman" w:hAnsi="Times New Roman" w:cs="Times New Roman"/>
        </w:rPr>
        <w:t>, 1972, pp.22-23). However, by 18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century, the southern portions remained under the exclusive control of the Cheros while the Rajput and Muslim zamindars became predominant in the northern parts. (</w:t>
      </w:r>
      <w:proofErr w:type="spellStart"/>
      <w:r>
        <w:rPr>
          <w:rFonts w:ascii="Times New Roman" w:eastAsia="Times New Roman" w:hAnsi="Times New Roman" w:cs="Times New Roman"/>
        </w:rPr>
        <w:t>Virottam</w:t>
      </w:r>
      <w:proofErr w:type="spellEnd"/>
      <w:r>
        <w:rPr>
          <w:rFonts w:ascii="Times New Roman" w:eastAsia="Times New Roman" w:hAnsi="Times New Roman" w:cs="Times New Roman"/>
        </w:rPr>
        <w:t xml:space="preserve">, 1972, p. 218) The </w:t>
      </w:r>
      <w:proofErr w:type="spellStart"/>
      <w:r>
        <w:rPr>
          <w:rFonts w:ascii="Times New Roman" w:eastAsia="Times New Roman" w:hAnsi="Times New Roman" w:cs="Times New Roman"/>
        </w:rPr>
        <w:t>Rajputs</w:t>
      </w:r>
      <w:proofErr w:type="spellEnd"/>
      <w:r>
        <w:rPr>
          <w:rFonts w:ascii="Times New Roman" w:eastAsia="Times New Roman" w:hAnsi="Times New Roman" w:cs="Times New Roman"/>
        </w:rPr>
        <w:t xml:space="preserve"> from north and central India also conquered tribal tracts in south Bihar and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and imposed their authority on the tribal chiefs. They created new settlements called the </w:t>
      </w:r>
      <w:proofErr w:type="spellStart"/>
      <w:r>
        <w:rPr>
          <w:rFonts w:ascii="Times New Roman" w:eastAsia="Times New Roman" w:hAnsi="Times New Roman" w:cs="Times New Roman"/>
        </w:rPr>
        <w:t>bhums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Singhbhum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Barabhum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Sikharbhum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Manbhum</w:t>
      </w:r>
      <w:proofErr w:type="spellEnd"/>
      <w:r>
        <w:rPr>
          <w:rFonts w:ascii="Times New Roman" w:eastAsia="Times New Roman" w:hAnsi="Times New Roman" w:cs="Times New Roman"/>
        </w:rPr>
        <w:t xml:space="preserve"> etc.), as new centres of authority in the tribal regions and struck up close relationships with the tribals. They accepted the ritual status as younger brothers to dominant tribal communities (Singh, 1983, p. 283). Similarly, the Rathore </w:t>
      </w:r>
      <w:proofErr w:type="spellStart"/>
      <w:r>
        <w:rPr>
          <w:rFonts w:ascii="Times New Roman" w:eastAsia="Times New Roman" w:hAnsi="Times New Roman" w:cs="Times New Roman"/>
        </w:rPr>
        <w:t>Rajputs</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Porahat</w:t>
      </w:r>
      <w:proofErr w:type="spellEnd"/>
      <w:r>
        <w:rPr>
          <w:rFonts w:ascii="Times New Roman" w:eastAsia="Times New Roman" w:hAnsi="Times New Roman" w:cs="Times New Roman"/>
        </w:rPr>
        <w:t xml:space="preserve"> who exercised their sway over the </w:t>
      </w:r>
      <w:proofErr w:type="spellStart"/>
      <w:r>
        <w:rPr>
          <w:rFonts w:ascii="Times New Roman" w:eastAsia="Times New Roman" w:hAnsi="Times New Roman" w:cs="Times New Roman"/>
        </w:rPr>
        <w:t>Kolhan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Seraikela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Kharsawan</w:t>
      </w:r>
      <w:proofErr w:type="spellEnd"/>
      <w:r>
        <w:rPr>
          <w:rFonts w:ascii="Times New Roman" w:eastAsia="Times New Roman" w:hAnsi="Times New Roman" w:cs="Times New Roman"/>
        </w:rPr>
        <w:t xml:space="preserve">, according to Dalton, were regarded by </w:t>
      </w:r>
      <w:proofErr w:type="spellStart"/>
      <w:r>
        <w:rPr>
          <w:rFonts w:ascii="Times New Roman" w:eastAsia="Times New Roman" w:hAnsi="Times New Roman" w:cs="Times New Roman"/>
        </w:rPr>
        <w:t>Hos</w:t>
      </w:r>
      <w:proofErr w:type="spellEnd"/>
      <w:r>
        <w:rPr>
          <w:rFonts w:ascii="Times New Roman" w:eastAsia="Times New Roman" w:hAnsi="Times New Roman" w:cs="Times New Roman"/>
        </w:rPr>
        <w:t xml:space="preserve"> as friends and allies rather than as masters (Singh, 1983, 283.) Many castes who migrated to these areas were even given lands by the tribal chiefs. Many of these castes formed their own settlements called </w:t>
      </w:r>
      <w:proofErr w:type="spellStart"/>
      <w:r>
        <w:rPr>
          <w:rFonts w:ascii="Times New Roman" w:eastAsia="Times New Roman" w:hAnsi="Times New Roman" w:cs="Times New Roman"/>
        </w:rPr>
        <w:t>Brahmanbhum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Gopbhum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Bhangibhum</w:t>
      </w:r>
      <w:proofErr w:type="spellEnd"/>
      <w:r>
        <w:rPr>
          <w:rFonts w:ascii="Times New Roman" w:eastAsia="Times New Roman" w:hAnsi="Times New Roman" w:cs="Times New Roman"/>
        </w:rPr>
        <w:t xml:space="preserve"> etc. Many artisan castes also settled down in tribal villages making them a multi caste settlement. (Singh, 1983, p. 285) </w:t>
      </w:r>
    </w:p>
    <w:p w14:paraId="7B2A10AB"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In certain areas however the immigration of outsiders resulted in the displacement of the tribes. In </w:t>
      </w:r>
      <w:proofErr w:type="spellStart"/>
      <w:r>
        <w:rPr>
          <w:rFonts w:ascii="Times New Roman" w:eastAsia="Times New Roman" w:hAnsi="Times New Roman" w:cs="Times New Roman"/>
        </w:rPr>
        <w:t>Nagbanshi</w:t>
      </w:r>
      <w:proofErr w:type="spellEnd"/>
      <w:r>
        <w:rPr>
          <w:rFonts w:ascii="Times New Roman" w:eastAsia="Times New Roman" w:hAnsi="Times New Roman" w:cs="Times New Roman"/>
        </w:rPr>
        <w:t xml:space="preserve"> kingdom, earlier the </w:t>
      </w:r>
      <w:proofErr w:type="spellStart"/>
      <w:r>
        <w:rPr>
          <w:rFonts w:ascii="Times New Roman" w:eastAsia="Times New Roman" w:hAnsi="Times New Roman" w:cs="Times New Roman"/>
          <w:i/>
        </w:rPr>
        <w:t>Mundas</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Oraons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i/>
        </w:rPr>
        <w:t>Kharias</w:t>
      </w:r>
      <w:proofErr w:type="spellEnd"/>
      <w:r>
        <w:rPr>
          <w:rFonts w:ascii="Times New Roman" w:eastAsia="Times New Roman" w:hAnsi="Times New Roman" w:cs="Times New Roman"/>
        </w:rPr>
        <w:t xml:space="preserve"> resided in large numbers. Later the raja, to maintain his position against the neighbouring rajas and to manage the influence of the tribes encouraged and induced other castes to settle in the country. In doing so he made generous grant of villages to such an extent that over a period of time the tribes </w:t>
      </w:r>
      <w:r>
        <w:rPr>
          <w:rFonts w:ascii="Times New Roman" w:eastAsia="Times New Roman" w:hAnsi="Times New Roman" w:cs="Times New Roman"/>
        </w:rPr>
        <w:lastRenderedPageBreak/>
        <w:t xml:space="preserve">were reduced to the status of mere cultivators (Reid, 1912, p.14). As a result many tribes migrated to other areas. According to S.C. Roy, </w:t>
      </w:r>
      <w:proofErr w:type="spellStart"/>
      <w:r>
        <w:rPr>
          <w:rFonts w:ascii="Times New Roman" w:eastAsia="Times New Roman" w:hAnsi="Times New Roman" w:cs="Times New Roman"/>
          <w:i/>
        </w:rPr>
        <w:t>Mundas</w:t>
      </w:r>
      <w:proofErr w:type="spellEnd"/>
      <w:r>
        <w:rPr>
          <w:rFonts w:ascii="Times New Roman" w:eastAsia="Times New Roman" w:hAnsi="Times New Roman" w:cs="Times New Roman"/>
        </w:rPr>
        <w:t xml:space="preserve"> marched across the Subarnarekha leaving </w:t>
      </w:r>
      <w:proofErr w:type="spellStart"/>
      <w:r>
        <w:rPr>
          <w:rFonts w:ascii="Times New Roman" w:eastAsia="Times New Roman" w:hAnsi="Times New Roman" w:cs="Times New Roman"/>
          <w:i/>
        </w:rPr>
        <w:t>Oraons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 xml:space="preserve">in occupation of southern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Some went southwards and established a village named </w:t>
      </w:r>
      <w:proofErr w:type="spellStart"/>
      <w:r>
        <w:rPr>
          <w:rFonts w:ascii="Times New Roman" w:eastAsia="Times New Roman" w:hAnsi="Times New Roman" w:cs="Times New Roman"/>
        </w:rPr>
        <w:t>Khunti</w:t>
      </w:r>
      <w:proofErr w:type="spellEnd"/>
      <w:r>
        <w:rPr>
          <w:rFonts w:ascii="Times New Roman" w:eastAsia="Times New Roman" w:hAnsi="Times New Roman" w:cs="Times New Roman"/>
        </w:rPr>
        <w:t xml:space="preserve">. Towards the east the </w:t>
      </w:r>
      <w:proofErr w:type="spellStart"/>
      <w:r>
        <w:rPr>
          <w:rFonts w:ascii="Times New Roman" w:eastAsia="Times New Roman" w:hAnsi="Times New Roman" w:cs="Times New Roman"/>
        </w:rPr>
        <w:t>Mundas</w:t>
      </w:r>
      <w:proofErr w:type="spellEnd"/>
      <w:r>
        <w:rPr>
          <w:rFonts w:ascii="Times New Roman" w:eastAsia="Times New Roman" w:hAnsi="Times New Roman" w:cs="Times New Roman"/>
        </w:rPr>
        <w:t xml:space="preserve"> occupied the </w:t>
      </w:r>
      <w:proofErr w:type="spellStart"/>
      <w:r>
        <w:rPr>
          <w:rFonts w:ascii="Times New Roman" w:eastAsia="Times New Roman" w:hAnsi="Times New Roman" w:cs="Times New Roman"/>
        </w:rPr>
        <w:t>Panch</w:t>
      </w:r>
      <w:proofErr w:type="spellEnd"/>
      <w:r>
        <w:rPr>
          <w:rFonts w:ascii="Times New Roman" w:eastAsia="Times New Roman" w:hAnsi="Times New Roman" w:cs="Times New Roman"/>
        </w:rPr>
        <w:t xml:space="preserve"> Parganas consisting of </w:t>
      </w:r>
      <w:proofErr w:type="spellStart"/>
      <w:r>
        <w:rPr>
          <w:rFonts w:ascii="Times New Roman" w:eastAsia="Times New Roman" w:hAnsi="Times New Roman" w:cs="Times New Roman"/>
        </w:rPr>
        <w:t>Silli</w:t>
      </w:r>
      <w:proofErr w:type="spellEnd"/>
      <w:r>
        <w:rPr>
          <w:rFonts w:ascii="Times New Roman" w:eastAsia="Times New Roman" w:hAnsi="Times New Roman" w:cs="Times New Roman"/>
        </w:rPr>
        <w:t xml:space="preserve">, Branda, Rahr, Bundu and Tamar. Several other bands moved further eastwards and at one time occupied the parganas of </w:t>
      </w:r>
      <w:proofErr w:type="spellStart"/>
      <w:r>
        <w:rPr>
          <w:rFonts w:ascii="Times New Roman" w:eastAsia="Times New Roman" w:hAnsi="Times New Roman" w:cs="Times New Roman"/>
        </w:rPr>
        <w:t>Jhalda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Bygonkudar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Bagmari</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Patkum</w:t>
      </w:r>
      <w:proofErr w:type="spellEnd"/>
      <w:r>
        <w:rPr>
          <w:rFonts w:ascii="Times New Roman" w:eastAsia="Times New Roman" w:hAnsi="Times New Roman" w:cs="Times New Roman"/>
        </w:rPr>
        <w:t xml:space="preserve">. (Roy, 1968, p.88) According to Risley, it was this branch of </w:t>
      </w:r>
      <w:proofErr w:type="spellStart"/>
      <w:r>
        <w:rPr>
          <w:rFonts w:ascii="Times New Roman" w:eastAsia="Times New Roman" w:hAnsi="Times New Roman" w:cs="Times New Roman"/>
          <w:i/>
        </w:rPr>
        <w:t>Mundas</w:t>
      </w:r>
      <w:proofErr w:type="spellEnd"/>
      <w:r>
        <w:rPr>
          <w:rFonts w:ascii="Times New Roman" w:eastAsia="Times New Roman" w:hAnsi="Times New Roman" w:cs="Times New Roman"/>
        </w:rPr>
        <w:t xml:space="preserve"> that spread eastwards who later came to be known as </w:t>
      </w:r>
      <w:proofErr w:type="spellStart"/>
      <w:r>
        <w:rPr>
          <w:rFonts w:ascii="Times New Roman" w:eastAsia="Times New Roman" w:hAnsi="Times New Roman" w:cs="Times New Roman"/>
          <w:i/>
        </w:rPr>
        <w:t>Bhumijs</w:t>
      </w:r>
      <w:proofErr w:type="spellEnd"/>
      <w:r>
        <w:rPr>
          <w:rFonts w:ascii="Times New Roman" w:eastAsia="Times New Roman" w:hAnsi="Times New Roman" w:cs="Times New Roman"/>
        </w:rPr>
        <w:t xml:space="preserve"> (Risley, 1892, p.117) Similarly, in Bengal, </w:t>
      </w:r>
      <w:r>
        <w:rPr>
          <w:rFonts w:ascii="Times New Roman" w:eastAsia="Times New Roman" w:hAnsi="Times New Roman" w:cs="Times New Roman"/>
          <w:i/>
        </w:rPr>
        <w:t xml:space="preserve">Santhals </w:t>
      </w:r>
      <w:r>
        <w:rPr>
          <w:rFonts w:ascii="Times New Roman" w:eastAsia="Times New Roman" w:hAnsi="Times New Roman" w:cs="Times New Roman"/>
        </w:rPr>
        <w:t xml:space="preserve">were the sole occupants of the western jungle for a long time (Hunter, 1872, p. 3) In Bankura, they formed the largest tribal groups and organized reclamation of forest land under their autonomous chiefs called </w:t>
      </w:r>
      <w:proofErr w:type="spellStart"/>
      <w:r>
        <w:rPr>
          <w:rFonts w:ascii="Times New Roman" w:eastAsia="Times New Roman" w:hAnsi="Times New Roman" w:cs="Times New Roman"/>
          <w:i/>
        </w:rPr>
        <w:t>majhis</w:t>
      </w:r>
      <w:proofErr w:type="spellEnd"/>
      <w:r>
        <w:rPr>
          <w:rFonts w:ascii="Times New Roman" w:eastAsia="Times New Roman" w:hAnsi="Times New Roman" w:cs="Times New Roman"/>
          <w:i/>
        </w:rPr>
        <w:t>.</w:t>
      </w:r>
      <w:r>
        <w:rPr>
          <w:rFonts w:ascii="Times New Roman" w:eastAsia="Times New Roman" w:hAnsi="Times New Roman" w:cs="Times New Roman"/>
        </w:rPr>
        <w:t xml:space="preserve"> They were usually withdrawn and maintained minimum relation with the outsiders (Sanyal, 1981, p. 83) The Hindus believed them to be powerful in witchcraft and avoided any kind of social contact with them (Chaudhuri, 2004, p.113). Therefore, as the number of people from the plains increased, the </w:t>
      </w:r>
      <w:r>
        <w:rPr>
          <w:rFonts w:ascii="Times New Roman" w:eastAsia="Times New Roman" w:hAnsi="Times New Roman" w:cs="Times New Roman"/>
          <w:i/>
        </w:rPr>
        <w:t xml:space="preserve">Santhals </w:t>
      </w:r>
      <w:r>
        <w:rPr>
          <w:rFonts w:ascii="Times New Roman" w:eastAsia="Times New Roman" w:hAnsi="Times New Roman" w:cs="Times New Roman"/>
        </w:rPr>
        <w:t xml:space="preserve">retreated further into the mountains. </w:t>
      </w:r>
    </w:p>
    <w:p w14:paraId="17CE7652"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Despite the diluting effect of state formation on the tribal population of the Jungle Mahals, in eighteenth century they still comprised a considerable section of the population. While in some areas they worked in unison with other castes, in others they acted independently. The different equations between the tribes and non-tribes in the region made the situation very complex for the EIC.</w:t>
      </w:r>
    </w:p>
    <w:p w14:paraId="669DE78D" w14:textId="77777777" w:rsidR="003934E1" w:rsidRDefault="00000000">
      <w:pPr>
        <w:spacing w:after="160"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In 1765, when EIC acquired the diwani, they believed that their authority also extended </w:t>
      </w:r>
      <w:proofErr w:type="spellStart"/>
      <w:r>
        <w:rPr>
          <w:rFonts w:ascii="Times New Roman" w:eastAsia="Times New Roman" w:hAnsi="Times New Roman" w:cs="Times New Roman"/>
        </w:rPr>
        <w:t>upto</w:t>
      </w:r>
      <w:proofErr w:type="spellEnd"/>
      <w:r>
        <w:rPr>
          <w:rFonts w:ascii="Times New Roman" w:eastAsia="Times New Roman" w:hAnsi="Times New Roman" w:cs="Times New Roman"/>
        </w:rPr>
        <w:t xml:space="preserve"> these forests and therefore made every effort to bring this area under their fiscal administration. What they failed to realise was that the jungle chiefs were the </w:t>
      </w:r>
      <w:r>
        <w:rPr>
          <w:rFonts w:ascii="Times New Roman" w:eastAsia="Times New Roman" w:hAnsi="Times New Roman" w:cs="Times New Roman"/>
          <w:i/>
        </w:rPr>
        <w:t>de facto</w:t>
      </w:r>
      <w:r>
        <w:rPr>
          <w:rFonts w:ascii="Times New Roman" w:eastAsia="Times New Roman" w:hAnsi="Times New Roman" w:cs="Times New Roman"/>
        </w:rPr>
        <w:t xml:space="preserve"> rulers of ancient standing who could never be brought under the administrative control of the previous government. They were the trans frontier rajas who never paid tribute except when an army advanced against them (Hunter, 1894, p.33; Datta, 1936, p. 394). Under the Mughals, the region therefore represented a ‘zone of anomaly’ (Sivaramakrishnan, 1999, p. xv.) which was within the ambit but outside the effective control of the Mughals. Driven by economic and military consideration the company however adopted a different approach towards these forest principalities and embarked on a mission to reduce them to subjugation. There were numerous causes for British entry into this region: possibility of a favourable trade route  through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to Banaras to avoid Maratha attention; to keep a check on zamindars of the plains who often took refuge in the forest to evade paying revenue; to offer protection to the provinces </w:t>
      </w:r>
      <w:r>
        <w:rPr>
          <w:rFonts w:ascii="Times New Roman" w:eastAsia="Times New Roman" w:hAnsi="Times New Roman" w:cs="Times New Roman"/>
        </w:rPr>
        <w:lastRenderedPageBreak/>
        <w:t>of Bihar and Bengal from the surmounting Maratha threat by obtaining the command of the hills; and finally, to protect the fertile plains of Bihar and Bengal from the jungle chiefs and their subjects who often attacked and pillaged the agricultural produce which caused financial loss to the company (</w:t>
      </w:r>
      <w:proofErr w:type="spellStart"/>
      <w:r>
        <w:rPr>
          <w:rFonts w:ascii="Times New Roman" w:eastAsia="Times New Roman" w:hAnsi="Times New Roman" w:cs="Times New Roman"/>
        </w:rPr>
        <w:t>Virottam</w:t>
      </w:r>
      <w:proofErr w:type="spellEnd"/>
      <w:r>
        <w:rPr>
          <w:rFonts w:ascii="Times New Roman" w:eastAsia="Times New Roman" w:hAnsi="Times New Roman" w:cs="Times New Roman"/>
        </w:rPr>
        <w:t>, 1972, pp.71-75).</w:t>
      </w:r>
      <w:r>
        <w:rPr>
          <w:rFonts w:ascii="Times New Roman" w:eastAsia="Times New Roman" w:hAnsi="Times New Roman" w:cs="Times New Roman"/>
        </w:rPr>
        <w:tab/>
      </w:r>
    </w:p>
    <w:p w14:paraId="52C8FC2A" w14:textId="77777777" w:rsidR="003934E1" w:rsidRDefault="00000000">
      <w:pPr>
        <w:numPr>
          <w:ilvl w:val="0"/>
          <w:numId w:val="15"/>
        </w:numPr>
        <w:spacing w:after="160" w:line="360" w:lineRule="auto"/>
        <w:rPr>
          <w:rFonts w:ascii="Times New Roman" w:eastAsia="Times New Roman" w:hAnsi="Times New Roman" w:cs="Times New Roman"/>
          <w:b/>
        </w:rPr>
      </w:pPr>
      <w:r>
        <w:rPr>
          <w:rFonts w:ascii="Times New Roman" w:eastAsia="Times New Roman" w:hAnsi="Times New Roman" w:cs="Times New Roman"/>
          <w:b/>
        </w:rPr>
        <w:t>British Strategy in the Period of Transition</w:t>
      </w:r>
    </w:p>
    <w:p w14:paraId="037EBF56"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EIC began its forays into the Jungle Mahala in 1767 with an expedition under the command of Mr. Fergusson who was instructed to reduce the zamindars to the west of Midnapur. Zamindars who refused to submit were to be expelled (</w:t>
      </w:r>
      <w:proofErr w:type="spellStart"/>
      <w:r>
        <w:rPr>
          <w:rFonts w:ascii="Times New Roman" w:eastAsia="Times New Roman" w:hAnsi="Times New Roman" w:cs="Times New Roman"/>
        </w:rPr>
        <w:t>Firminger</w:t>
      </w:r>
      <w:proofErr w:type="spellEnd"/>
      <w:r>
        <w:rPr>
          <w:rFonts w:ascii="Times New Roman" w:eastAsia="Times New Roman" w:hAnsi="Times New Roman" w:cs="Times New Roman"/>
        </w:rPr>
        <w:t xml:space="preserve">, 1914, p.82). While some of the </w:t>
      </w:r>
      <w:r>
        <w:rPr>
          <w:rFonts w:ascii="Times New Roman" w:eastAsia="Times New Roman" w:hAnsi="Times New Roman" w:cs="Times New Roman"/>
          <w:i/>
        </w:rPr>
        <w:t>zamindars</w:t>
      </w:r>
      <w:r>
        <w:rPr>
          <w:rFonts w:ascii="Times New Roman" w:eastAsia="Times New Roman" w:hAnsi="Times New Roman" w:cs="Times New Roman"/>
        </w:rPr>
        <w:t xml:space="preserve"> like those of </w:t>
      </w:r>
      <w:proofErr w:type="spellStart"/>
      <w:r>
        <w:rPr>
          <w:rFonts w:ascii="Times New Roman" w:eastAsia="Times New Roman" w:hAnsi="Times New Roman" w:cs="Times New Roman"/>
        </w:rPr>
        <w:t>Kalianpore</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Phulkusuma</w:t>
      </w:r>
      <w:proofErr w:type="spellEnd"/>
      <w:r>
        <w:rPr>
          <w:rFonts w:ascii="Times New Roman" w:eastAsia="Times New Roman" w:hAnsi="Times New Roman" w:cs="Times New Roman"/>
        </w:rPr>
        <w:t xml:space="preserve"> agreed to settle their revenue with the company; others like those of </w:t>
      </w:r>
      <w:proofErr w:type="spellStart"/>
      <w:r>
        <w:rPr>
          <w:rFonts w:ascii="Times New Roman" w:eastAsia="Times New Roman" w:hAnsi="Times New Roman" w:cs="Times New Roman"/>
        </w:rPr>
        <w:t>Jhargarm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Ghatsila</w:t>
      </w:r>
      <w:proofErr w:type="spellEnd"/>
      <w:r>
        <w:rPr>
          <w:rFonts w:ascii="Times New Roman" w:eastAsia="Times New Roman" w:hAnsi="Times New Roman" w:cs="Times New Roman"/>
        </w:rPr>
        <w:t xml:space="preserve"> refused and put up a resistance to preserve their autonomy. With regard to the latter, Mr. Fergusson used the opportunity to set an example of “lenity and moderation, with a view of engaging others to a cheerful submission and allegiance” to the government (Price, 1876, p. 37). The </w:t>
      </w:r>
      <w:proofErr w:type="spellStart"/>
      <w:r>
        <w:rPr>
          <w:rFonts w:ascii="Times New Roman" w:eastAsia="Times New Roman" w:hAnsi="Times New Roman" w:cs="Times New Roman"/>
        </w:rPr>
        <w:t>Jhargram</w:t>
      </w:r>
      <w:proofErr w:type="spellEnd"/>
      <w:r>
        <w:rPr>
          <w:rFonts w:ascii="Times New Roman" w:eastAsia="Times New Roman" w:hAnsi="Times New Roman" w:cs="Times New Roman"/>
        </w:rPr>
        <w:t xml:space="preserve"> zamindar was given a time of 24 hours to surrender, meanwhile Fergusson occupied his largest stronghold in </w:t>
      </w:r>
      <w:proofErr w:type="spellStart"/>
      <w:r>
        <w:rPr>
          <w:rFonts w:ascii="Times New Roman" w:eastAsia="Times New Roman" w:hAnsi="Times New Roman" w:cs="Times New Roman"/>
        </w:rPr>
        <w:t>Radhanagar</w:t>
      </w:r>
      <w:proofErr w:type="spellEnd"/>
      <w:r>
        <w:rPr>
          <w:rFonts w:ascii="Times New Roman" w:eastAsia="Times New Roman" w:hAnsi="Times New Roman" w:cs="Times New Roman"/>
        </w:rPr>
        <w:t xml:space="preserve"> (Price, 1876, p. 41). Eventually the zamindar surrendered along with many others. The </w:t>
      </w:r>
      <w:r>
        <w:rPr>
          <w:rFonts w:ascii="Times New Roman" w:eastAsia="Times New Roman" w:hAnsi="Times New Roman" w:cs="Times New Roman"/>
          <w:i/>
        </w:rPr>
        <w:t>zamindar</w:t>
      </w:r>
      <w:r>
        <w:rPr>
          <w:rFonts w:ascii="Times New Roman" w:eastAsia="Times New Roman" w:hAnsi="Times New Roman" w:cs="Times New Roman"/>
        </w:rPr>
        <w:t xml:space="preserve"> of </w:t>
      </w:r>
      <w:proofErr w:type="spellStart"/>
      <w:r>
        <w:rPr>
          <w:rFonts w:ascii="Times New Roman" w:eastAsia="Times New Roman" w:hAnsi="Times New Roman" w:cs="Times New Roman"/>
        </w:rPr>
        <w:t>Ghatsila</w:t>
      </w:r>
      <w:proofErr w:type="spellEnd"/>
      <w:r>
        <w:rPr>
          <w:rFonts w:ascii="Times New Roman" w:eastAsia="Times New Roman" w:hAnsi="Times New Roman" w:cs="Times New Roman"/>
        </w:rPr>
        <w:t xml:space="preserve">, however proved to be very obstinate and he tried all means to safeguard his autonomy, from breaking the roads and felling the trees to offering a bribe of Rs. 5000. Towards the end, Fergusson prevailed and took possession of the </w:t>
      </w:r>
      <w:proofErr w:type="spellStart"/>
      <w:r>
        <w:rPr>
          <w:rFonts w:ascii="Times New Roman" w:eastAsia="Times New Roman" w:hAnsi="Times New Roman" w:cs="Times New Roman"/>
        </w:rPr>
        <w:t>Ghatsila</w:t>
      </w:r>
      <w:proofErr w:type="spellEnd"/>
      <w:r>
        <w:rPr>
          <w:rFonts w:ascii="Times New Roman" w:eastAsia="Times New Roman" w:hAnsi="Times New Roman" w:cs="Times New Roman"/>
        </w:rPr>
        <w:t xml:space="preserve"> fort and proclaimed the zamindar’s nephew Jagannath Dhal as the new zamindar with whom he concluded an annual settlement (Price 1876, p. 51).</w:t>
      </w:r>
    </w:p>
    <w:p w14:paraId="307F052F"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officials of EIC soon realized that the expenditure incurred on such ventures was more than the revenue they received, henceforth, instead pursuing each zamindar separately, they decided to station a force in a central place to keep the inhabitants in awe of their military strength. The method was quite effective and Fergusson successfully made settlements with many jungle zamindars. The effect of the military might was such that the zamindars of </w:t>
      </w:r>
      <w:proofErr w:type="spellStart"/>
      <w:r>
        <w:rPr>
          <w:rFonts w:ascii="Times New Roman" w:eastAsia="Times New Roman" w:hAnsi="Times New Roman" w:cs="Times New Roman"/>
        </w:rPr>
        <w:t>Patkum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Singhbhum</w:t>
      </w:r>
      <w:proofErr w:type="spellEnd"/>
      <w:r>
        <w:rPr>
          <w:rFonts w:ascii="Times New Roman" w:eastAsia="Times New Roman" w:hAnsi="Times New Roman" w:cs="Times New Roman"/>
        </w:rPr>
        <w:t xml:space="preserve"> who could never be forced into submission by the Mughals, voluntarily submitted before the company. Given its success, the same method was applied in 1774 by Captain Crawford who in order to protect the zamindaris of Birbhum, Burdwan, Bishnupur and Pachet, fixed his camp at </w:t>
      </w:r>
      <w:proofErr w:type="spellStart"/>
      <w:r>
        <w:rPr>
          <w:rFonts w:ascii="Times New Roman" w:eastAsia="Times New Roman" w:hAnsi="Times New Roman" w:cs="Times New Roman"/>
        </w:rPr>
        <w:t>Jhalda</w:t>
      </w:r>
      <w:proofErr w:type="spellEnd"/>
      <w:r>
        <w:rPr>
          <w:rFonts w:ascii="Times New Roman" w:eastAsia="Times New Roman" w:hAnsi="Times New Roman" w:cs="Times New Roman"/>
        </w:rPr>
        <w:t xml:space="preserve"> which was centrally located and crushed the growing opposition from the zamindars of </w:t>
      </w:r>
      <w:proofErr w:type="spellStart"/>
      <w:r>
        <w:rPr>
          <w:rFonts w:ascii="Times New Roman" w:eastAsia="Times New Roman" w:hAnsi="Times New Roman" w:cs="Times New Roman"/>
        </w:rPr>
        <w:t>Jeypore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Jhalda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Bygonkudar</w:t>
      </w:r>
      <w:proofErr w:type="spellEnd"/>
      <w:r>
        <w:rPr>
          <w:rFonts w:ascii="Times New Roman" w:eastAsia="Times New Roman" w:hAnsi="Times New Roman" w:cs="Times New Roman"/>
        </w:rPr>
        <w:t xml:space="preserve">. Captain Crawford went a step further and invited the rajas to attend his camp where he performed a ceremony to install other zamindars in place of those that were obstinate, thereby providing the latter with a </w:t>
      </w:r>
      <w:r>
        <w:rPr>
          <w:rFonts w:ascii="Times New Roman" w:eastAsia="Times New Roman" w:hAnsi="Times New Roman" w:cs="Times New Roman"/>
        </w:rPr>
        <w:lastRenderedPageBreak/>
        <w:t xml:space="preserve">channel to make their submissions. To further instil fear among them, Crawford banished the zamindar of </w:t>
      </w:r>
      <w:proofErr w:type="spellStart"/>
      <w:r>
        <w:rPr>
          <w:rFonts w:ascii="Times New Roman" w:eastAsia="Times New Roman" w:hAnsi="Times New Roman" w:cs="Times New Roman"/>
        </w:rPr>
        <w:t>Jhalda</w:t>
      </w:r>
      <w:proofErr w:type="spellEnd"/>
      <w:r>
        <w:rPr>
          <w:rFonts w:ascii="Times New Roman" w:eastAsia="Times New Roman" w:hAnsi="Times New Roman" w:cs="Times New Roman"/>
        </w:rPr>
        <w:t xml:space="preserve"> and granted him a small village from his zamindari for his subsistence (PCRB, vol. 8, p. 189). </w:t>
      </w:r>
      <w:proofErr w:type="spellStart"/>
      <w:r>
        <w:rPr>
          <w:rFonts w:ascii="Times New Roman" w:eastAsia="Times New Roman" w:hAnsi="Times New Roman" w:cs="Times New Roman"/>
        </w:rPr>
        <w:t>Patkum</w:t>
      </w:r>
      <w:proofErr w:type="spellEnd"/>
      <w:r>
        <w:rPr>
          <w:rFonts w:ascii="Times New Roman" w:eastAsia="Times New Roman" w:hAnsi="Times New Roman" w:cs="Times New Roman"/>
        </w:rPr>
        <w:t xml:space="preserve"> provides another interesting method that the company employed to suppress the opposition in the Jungle Mahals. By the time Crawford marched, he realized that “In </w:t>
      </w:r>
      <w:proofErr w:type="spellStart"/>
      <w:r>
        <w:rPr>
          <w:rFonts w:ascii="Times New Roman" w:eastAsia="Times New Roman" w:hAnsi="Times New Roman" w:cs="Times New Roman"/>
        </w:rPr>
        <w:t>Mountaneous</w:t>
      </w:r>
      <w:proofErr w:type="spellEnd"/>
      <w:r>
        <w:rPr>
          <w:rFonts w:ascii="Times New Roman" w:eastAsia="Times New Roman" w:hAnsi="Times New Roman" w:cs="Times New Roman"/>
        </w:rPr>
        <w:t xml:space="preserve"> [sic.] Conquests where there principal resource is Concealment, It is only possible to Compel the Chiefs to submit by making the Inhabitants who may fall into their Possession Prisoners &amp; resting their being released on the submission of their Chiefs … as these are relations to the People Confined” (PCRB, vol. 8, p.189). He therefore collected near three hundred prisoners before the chiefs of </w:t>
      </w:r>
      <w:proofErr w:type="spellStart"/>
      <w:r>
        <w:rPr>
          <w:rFonts w:ascii="Times New Roman" w:eastAsia="Times New Roman" w:hAnsi="Times New Roman" w:cs="Times New Roman"/>
        </w:rPr>
        <w:t>Patkum</w:t>
      </w:r>
      <w:proofErr w:type="spellEnd"/>
      <w:r>
        <w:rPr>
          <w:rFonts w:ascii="Times New Roman" w:eastAsia="Times New Roman" w:hAnsi="Times New Roman" w:cs="Times New Roman"/>
        </w:rPr>
        <w:t xml:space="preserve"> came in. In order to prevent the </w:t>
      </w:r>
      <w:r>
        <w:rPr>
          <w:rFonts w:ascii="Times New Roman" w:eastAsia="Times New Roman" w:hAnsi="Times New Roman" w:cs="Times New Roman"/>
          <w:i/>
        </w:rPr>
        <w:t>zamindars</w:t>
      </w:r>
      <w:r>
        <w:rPr>
          <w:rFonts w:ascii="Times New Roman" w:eastAsia="Times New Roman" w:hAnsi="Times New Roman" w:cs="Times New Roman"/>
        </w:rPr>
        <w:t xml:space="preserve"> of to </w:t>
      </w:r>
      <w:proofErr w:type="spellStart"/>
      <w:r>
        <w:rPr>
          <w:rFonts w:ascii="Times New Roman" w:eastAsia="Times New Roman" w:hAnsi="Times New Roman" w:cs="Times New Roman"/>
        </w:rPr>
        <w:t>Jhalda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Jeypore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Bygonkudar</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Bagmari</w:t>
      </w:r>
      <w:proofErr w:type="spellEnd"/>
      <w:r>
        <w:rPr>
          <w:rFonts w:ascii="Times New Roman" w:eastAsia="Times New Roman" w:hAnsi="Times New Roman" w:cs="Times New Roman"/>
        </w:rPr>
        <w:t xml:space="preserve"> from breaking into a revolt in his absence, Crawford carried their chiefs and soldiers along with him. To conceal his intention of having them as hostage, he organised them into a corps under the leadership of their chiefs and a gave daily allowance agreeable to their ranks. They were dismissed only when the situation was under control (PCRB, vol. 8, p.189). Crawford also distributed gifts among the zamindars and his subjects for their support and obedience as he believed that people there had no “conception of those finer and more gentler bonds by which more civilised people were attached to the state. It was [therefore] requisite to work on their minds by the grossed Power of immediate Interest.” (PCRB, vol. 8, p.189). </w:t>
      </w:r>
    </w:p>
    <w:p w14:paraId="13F6A5BB"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presence of unconquered districts in the vicinity of the subdued districts created much anxiety for the Company. For example, even though peace was restored in </w:t>
      </w:r>
      <w:proofErr w:type="spellStart"/>
      <w:r>
        <w:rPr>
          <w:rFonts w:ascii="Times New Roman" w:eastAsia="Times New Roman" w:hAnsi="Times New Roman" w:cs="Times New Roman"/>
        </w:rPr>
        <w:t>Patkum</w:t>
      </w:r>
      <w:proofErr w:type="spellEnd"/>
      <w:r>
        <w:rPr>
          <w:rFonts w:ascii="Times New Roman" w:eastAsia="Times New Roman" w:hAnsi="Times New Roman" w:cs="Times New Roman"/>
        </w:rPr>
        <w:t xml:space="preserve">, Crawford was apprehensive that “the adjoining Independent Countries of Tamar and </w:t>
      </w:r>
      <w:proofErr w:type="spellStart"/>
      <w:r>
        <w:rPr>
          <w:rFonts w:ascii="Times New Roman" w:eastAsia="Times New Roman" w:hAnsi="Times New Roman" w:cs="Times New Roman"/>
        </w:rPr>
        <w:t>Singboom</w:t>
      </w:r>
      <w:proofErr w:type="spellEnd"/>
      <w:r>
        <w:rPr>
          <w:rFonts w:ascii="Times New Roman" w:eastAsia="Times New Roman" w:hAnsi="Times New Roman" w:cs="Times New Roman"/>
        </w:rPr>
        <w:t xml:space="preserve"> will in Resentment for the submission of that Country commit such violence on it as will add considerably to the other difficulties attending the collections by compelling the Inhabitants to ply to their Retreat amongst the Hills and prevent the Cultivation…” (PCRB, vol. 13, p.84). The Resident of </w:t>
      </w:r>
      <w:proofErr w:type="spellStart"/>
      <w:r>
        <w:rPr>
          <w:rFonts w:ascii="Times New Roman" w:eastAsia="Times New Roman" w:hAnsi="Times New Roman" w:cs="Times New Roman"/>
        </w:rPr>
        <w:t>Jhalda</w:t>
      </w:r>
      <w:proofErr w:type="spellEnd"/>
      <w:r>
        <w:rPr>
          <w:rFonts w:ascii="Times New Roman" w:eastAsia="Times New Roman" w:hAnsi="Times New Roman" w:cs="Times New Roman"/>
        </w:rPr>
        <w:t xml:space="preserve"> expressed similar concern and stated that “The nearer each Zamindary is situated to an unconquered District the greater the Chance of Disturbances occurring in such zamindars.” PCRB, vol. 22, p.113). To mitigate such situations, the officers either took hostages from several chiefs till the fulfilment of their economic obligation or subjected those districts to a lighter assessment that lay close to Tamar, </w:t>
      </w:r>
      <w:proofErr w:type="spellStart"/>
      <w:r>
        <w:rPr>
          <w:rFonts w:ascii="Times New Roman" w:eastAsia="Times New Roman" w:hAnsi="Times New Roman" w:cs="Times New Roman"/>
        </w:rPr>
        <w:t>Barabhum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Singhbhum</w:t>
      </w:r>
      <w:proofErr w:type="spellEnd"/>
      <w:r>
        <w:rPr>
          <w:rFonts w:ascii="Times New Roman" w:eastAsia="Times New Roman" w:hAnsi="Times New Roman" w:cs="Times New Roman"/>
        </w:rPr>
        <w:t xml:space="preserve">. It was also proposed to the zamindars to from a league of offensive and defensive for “Each zamindar singly would be vulnerable to the constant invasions of a superior force while collectively they will not only be able to repulse but severely Punish any of the neighbouring independent Inhabitants, who may commence Hostilities …” (PCRB, vol. 27, p.201). The company </w:t>
      </w:r>
      <w:r>
        <w:rPr>
          <w:rFonts w:ascii="Times New Roman" w:eastAsia="Times New Roman" w:hAnsi="Times New Roman" w:cs="Times New Roman"/>
        </w:rPr>
        <w:lastRenderedPageBreak/>
        <w:t xml:space="preserve">however knew that in the long run it was necessary to subdue these zamindaries to maintain peace in this region and therefore expeditions were sent to establish control over them. In </w:t>
      </w:r>
      <w:proofErr w:type="spellStart"/>
      <w:r>
        <w:rPr>
          <w:rFonts w:ascii="Times New Roman" w:eastAsia="Times New Roman" w:hAnsi="Times New Roman" w:cs="Times New Roman"/>
        </w:rPr>
        <w:t>Barabhum</w:t>
      </w:r>
      <w:proofErr w:type="spellEnd"/>
      <w:r>
        <w:rPr>
          <w:rFonts w:ascii="Times New Roman" w:eastAsia="Times New Roman" w:hAnsi="Times New Roman" w:cs="Times New Roman"/>
        </w:rPr>
        <w:t xml:space="preserve">, for instance, Capt. Briscoe destroyed “immense quantities of gram, and Several villages” to “distress all the poor inhabitants” in order to compel the raja to surrender (PCRB, vol. 27, p.201). The raja however continued with his refractory behaviour and was finally dispossessed of his </w:t>
      </w:r>
      <w:r>
        <w:rPr>
          <w:rFonts w:ascii="Times New Roman" w:eastAsia="Times New Roman" w:hAnsi="Times New Roman" w:cs="Times New Roman"/>
          <w:i/>
        </w:rPr>
        <w:t>zamindari</w:t>
      </w:r>
      <w:r>
        <w:rPr>
          <w:rFonts w:ascii="Times New Roman" w:eastAsia="Times New Roman" w:hAnsi="Times New Roman" w:cs="Times New Roman"/>
        </w:rPr>
        <w:t>. Similarly, Major Crawford marched into Tamar and launched an offensive. The inhabitants, unable to resist his progress were finally compelled to surrender (GGC, vol. 172, p.2166).</w:t>
      </w:r>
    </w:p>
    <w:p w14:paraId="7840BF9C"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company tried to keep the jungle </w:t>
      </w:r>
      <w:r>
        <w:rPr>
          <w:rFonts w:ascii="Times New Roman" w:eastAsia="Times New Roman" w:hAnsi="Times New Roman" w:cs="Times New Roman"/>
          <w:i/>
        </w:rPr>
        <w:t>zamindars</w:t>
      </w:r>
      <w:r>
        <w:rPr>
          <w:rFonts w:ascii="Times New Roman" w:eastAsia="Times New Roman" w:hAnsi="Times New Roman" w:cs="Times New Roman"/>
        </w:rPr>
        <w:t xml:space="preserve"> under check by concluding a revenue settlement with them. Surveys were conducted and collectors were instructed to make enquiries about the state of cultivation, actual amount collected, expenses occurred in collection etc. to fix a reasonable revenue. The company from the beginning asserted that the main motive behind fixing the revenue was to “Establish a peaceable and regular government over the inhabitants of that Country, not to burthen them with heavy taxes for the Sak [sic.] of increasing the Public Revenue.” (GGC, vol. 20, p.463). The company tried to subject the Jungle Mahals to the same system of fiscal assessment that it introduced in the plains of Bihar and Bengal and finally in 1790, the Jungle Mahals were settled completely for ten years. However, as Hunter later stated, it was vain to expect the ancient rajas, encumbered with all the costly paraphernalia of their petty courts and military retainers to suddenly transform themselves into punctual tax-collectors (Hunter, 1894, p.100). In order to keep the jungle chiefs in awe of the military strength of the company, it stationed </w:t>
      </w:r>
      <w:r>
        <w:rPr>
          <w:rFonts w:ascii="Times New Roman" w:eastAsia="Times New Roman" w:hAnsi="Times New Roman" w:cs="Times New Roman"/>
          <w:i/>
        </w:rPr>
        <w:t>sepoys</w:t>
      </w:r>
      <w:r>
        <w:rPr>
          <w:rFonts w:ascii="Times New Roman" w:eastAsia="Times New Roman" w:hAnsi="Times New Roman" w:cs="Times New Roman"/>
        </w:rPr>
        <w:t xml:space="preserve"> and constructed police stations in several districts. In certain districts, the Company appointed their own representatives like </w:t>
      </w:r>
      <w:r>
        <w:rPr>
          <w:rFonts w:ascii="Times New Roman" w:eastAsia="Times New Roman" w:hAnsi="Times New Roman" w:cs="Times New Roman"/>
          <w:i/>
        </w:rPr>
        <w:t>tahsildars</w:t>
      </w:r>
      <w:r>
        <w:rPr>
          <w:rFonts w:ascii="Times New Roman" w:eastAsia="Times New Roman" w:hAnsi="Times New Roman" w:cs="Times New Roman"/>
        </w:rPr>
        <w:t xml:space="preserve"> to collect revenue and maintain peace. Although these </w:t>
      </w:r>
      <w:r>
        <w:rPr>
          <w:rFonts w:ascii="Times New Roman" w:eastAsia="Times New Roman" w:hAnsi="Times New Roman" w:cs="Times New Roman"/>
          <w:i/>
        </w:rPr>
        <w:t>tahsildars</w:t>
      </w:r>
      <w:r>
        <w:rPr>
          <w:rFonts w:ascii="Times New Roman" w:eastAsia="Times New Roman" w:hAnsi="Times New Roman" w:cs="Times New Roman"/>
        </w:rPr>
        <w:t xml:space="preserve"> were local people and were mostly maintained by the </w:t>
      </w:r>
      <w:r>
        <w:rPr>
          <w:rFonts w:ascii="Times New Roman" w:eastAsia="Times New Roman" w:hAnsi="Times New Roman" w:cs="Times New Roman"/>
          <w:i/>
        </w:rPr>
        <w:t>zamindars</w:t>
      </w:r>
      <w:r>
        <w:rPr>
          <w:rFonts w:ascii="Times New Roman" w:eastAsia="Times New Roman" w:hAnsi="Times New Roman" w:cs="Times New Roman"/>
        </w:rPr>
        <w:t xml:space="preserve"> themselves, they were always regarded as the Company’s servants.</w:t>
      </w:r>
    </w:p>
    <w:p w14:paraId="6703CB37" w14:textId="77777777" w:rsidR="003934E1" w:rsidRDefault="00000000">
      <w:pPr>
        <w:numPr>
          <w:ilvl w:val="0"/>
          <w:numId w:val="15"/>
        </w:numPr>
        <w:spacing w:after="160"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Reaction in the form of Resistance to British Intervention </w:t>
      </w:r>
    </w:p>
    <w:p w14:paraId="1797ED73"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Despite the numerous methods employed by the EIC to establish their authority, the Jungle Mahals could not be brought under their complete subjugation during the eighteenth century. The officers faced numerous challenges in their endeavour to establish control over the jungle zamindars. The biggest challenge that they faced was the climate. Even though company had resolved to send an expedition to Midnapur in 1766, it was only in 1767 that the expedition took effect due to the onset of rains. Colonial records contain numerous complaints </w:t>
      </w:r>
      <w:r>
        <w:rPr>
          <w:rFonts w:ascii="Times New Roman" w:eastAsia="Times New Roman" w:hAnsi="Times New Roman" w:cs="Times New Roman"/>
        </w:rPr>
        <w:lastRenderedPageBreak/>
        <w:t xml:space="preserve">regarding climate from the officers posted in different areas. For example, Charles Morgan posted at a camp in </w:t>
      </w:r>
      <w:proofErr w:type="spellStart"/>
      <w:r>
        <w:rPr>
          <w:rFonts w:ascii="Times New Roman" w:eastAsia="Times New Roman" w:hAnsi="Times New Roman" w:cs="Times New Roman"/>
        </w:rPr>
        <w:t>Haldipukur</w:t>
      </w:r>
      <w:proofErr w:type="spellEnd"/>
      <w:r>
        <w:rPr>
          <w:rFonts w:ascii="Times New Roman" w:eastAsia="Times New Roman" w:hAnsi="Times New Roman" w:cs="Times New Roman"/>
        </w:rPr>
        <w:t xml:space="preserve"> described it as the “</w:t>
      </w:r>
      <w:proofErr w:type="spellStart"/>
      <w:r>
        <w:rPr>
          <w:rFonts w:ascii="Times New Roman" w:eastAsia="Times New Roman" w:hAnsi="Times New Roman" w:cs="Times New Roman"/>
        </w:rPr>
        <w:t>shockingest</w:t>
      </w:r>
      <w:proofErr w:type="spellEnd"/>
      <w:r>
        <w:rPr>
          <w:rFonts w:ascii="Times New Roman" w:eastAsia="Times New Roman" w:hAnsi="Times New Roman" w:cs="Times New Roman"/>
        </w:rPr>
        <w:t xml:space="preserve"> weather” that he ever saw in his life. He further wrote that his spy’s fell sick continually and that he was obliged to turn doctor himself and gave “</w:t>
      </w:r>
      <w:proofErr w:type="spellStart"/>
      <w:r>
        <w:rPr>
          <w:rFonts w:ascii="Times New Roman" w:eastAsia="Times New Roman" w:hAnsi="Times New Roman" w:cs="Times New Roman"/>
        </w:rPr>
        <w:t>Furlington’s</w:t>
      </w:r>
      <w:proofErr w:type="spellEnd"/>
      <w:r>
        <w:rPr>
          <w:rFonts w:ascii="Times New Roman" w:eastAsia="Times New Roman" w:hAnsi="Times New Roman" w:cs="Times New Roman"/>
        </w:rPr>
        <w:t xml:space="preserve"> drops” for all kinds of disorders (</w:t>
      </w:r>
      <w:proofErr w:type="spellStart"/>
      <w:r>
        <w:rPr>
          <w:rFonts w:ascii="Times New Roman" w:eastAsia="Times New Roman" w:hAnsi="Times New Roman" w:cs="Times New Roman"/>
        </w:rPr>
        <w:t>Firminger</w:t>
      </w:r>
      <w:proofErr w:type="spellEnd"/>
      <w:r>
        <w:rPr>
          <w:rFonts w:ascii="Times New Roman" w:eastAsia="Times New Roman" w:hAnsi="Times New Roman" w:cs="Times New Roman"/>
        </w:rPr>
        <w:t xml:space="preserve">, 1915, p.96). Similar opinion was shared by the Collector of </w:t>
      </w:r>
      <w:proofErr w:type="spellStart"/>
      <w:r>
        <w:rPr>
          <w:rFonts w:ascii="Times New Roman" w:eastAsia="Times New Roman" w:hAnsi="Times New Roman" w:cs="Times New Roman"/>
        </w:rPr>
        <w:t>Ramgur</w:t>
      </w:r>
      <w:proofErr w:type="spellEnd"/>
      <w:r>
        <w:rPr>
          <w:rFonts w:ascii="Times New Roman" w:eastAsia="Times New Roman" w:hAnsi="Times New Roman" w:cs="Times New Roman"/>
        </w:rPr>
        <w:t xml:space="preserve"> who found its climate “very </w:t>
      </w:r>
      <w:proofErr w:type="spellStart"/>
      <w:r>
        <w:rPr>
          <w:rFonts w:ascii="Times New Roman" w:eastAsia="Times New Roman" w:hAnsi="Times New Roman" w:cs="Times New Roman"/>
        </w:rPr>
        <w:t>unfavorable</w:t>
      </w:r>
      <w:proofErr w:type="spellEnd"/>
      <w:r>
        <w:rPr>
          <w:rFonts w:ascii="Times New Roman" w:eastAsia="Times New Roman" w:hAnsi="Times New Roman" w:cs="Times New Roman"/>
        </w:rPr>
        <w:t>” (WBSA, GGC, vol.96, p.216). The unfamiliarity with the jungle terrain was a major drawback for the troops who despite having superior technology appeared helpless before their enemies. They were baffled and amazed at the same time by the mode of jungle warfare (</w:t>
      </w:r>
      <w:proofErr w:type="spellStart"/>
      <w:r>
        <w:rPr>
          <w:rFonts w:ascii="Times New Roman" w:eastAsia="Times New Roman" w:hAnsi="Times New Roman" w:cs="Times New Roman"/>
        </w:rPr>
        <w:t>Firminger</w:t>
      </w:r>
      <w:proofErr w:type="spellEnd"/>
      <w:r>
        <w:rPr>
          <w:rFonts w:ascii="Times New Roman" w:eastAsia="Times New Roman" w:hAnsi="Times New Roman" w:cs="Times New Roman"/>
        </w:rPr>
        <w:t xml:space="preserve">, 1915, p.78). Often the inhabitants fell trees to obstruct enemy movement and burnt villages   to starve the enemy by depriving them of all possible means of food supply (Price, 1876, p.49). The military detachments were thus always under the necessity to carry a large supply of provisions when they entered a hostile country which automatically slowed down their progress. </w:t>
      </w:r>
    </w:p>
    <w:p w14:paraId="3A7D20E8"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limitations compelled the company to take recourse to alternative methods to establish control in the Jungle Mahals. It was hoped that lenient conduct on the part of the government towards the zamindars in general would bring “the most violent amongst them to a proper Sence [sic.] of their duty as well as retaining others, from throwing off their allegiance” (GGC, vol.57, L.N.493). In compliance with the new approach when the recalcitrant chiefs raised disturbances in </w:t>
      </w:r>
      <w:proofErr w:type="spellStart"/>
      <w:r>
        <w:rPr>
          <w:rFonts w:ascii="Times New Roman" w:eastAsia="Times New Roman" w:hAnsi="Times New Roman" w:cs="Times New Roman"/>
        </w:rPr>
        <w:t>Palamu</w:t>
      </w:r>
      <w:proofErr w:type="spellEnd"/>
      <w:r>
        <w:rPr>
          <w:rFonts w:ascii="Times New Roman" w:eastAsia="Times New Roman" w:hAnsi="Times New Roman" w:cs="Times New Roman"/>
        </w:rPr>
        <w:t xml:space="preserve"> in 1780, Captain Crawford did not resort to military action immediately. Instead, he wrote to the chief “representing the folly &amp; ingratitude of his conduct in the strongest colours” and “assuring him of entire forgiveness should he return to his duty” (GGC, vol.56, LN. 433). The recalcitrant chiefs later returned and matters were settled without violence. In case of Tamar insurrection in 1789, the collector ordered an advertisement to be pasted where the recalcitrant </w:t>
      </w:r>
      <w:proofErr w:type="spellStart"/>
      <w:r>
        <w:rPr>
          <w:rFonts w:ascii="Times New Roman" w:eastAsia="Times New Roman" w:hAnsi="Times New Roman" w:cs="Times New Roman"/>
          <w:i/>
        </w:rPr>
        <w:t>majhis</w:t>
      </w:r>
      <w:proofErr w:type="spellEnd"/>
      <w:r>
        <w:rPr>
          <w:rFonts w:ascii="Times New Roman" w:eastAsia="Times New Roman" w:hAnsi="Times New Roman" w:cs="Times New Roman"/>
        </w:rPr>
        <w:t xml:space="preserve"> resided, ordering them to come in immediately and represent their grievances, or troops would be sent to punish them. When the </w:t>
      </w:r>
      <w:proofErr w:type="spellStart"/>
      <w:r>
        <w:rPr>
          <w:rFonts w:ascii="Times New Roman" w:eastAsia="Times New Roman" w:hAnsi="Times New Roman" w:cs="Times New Roman"/>
          <w:i/>
        </w:rPr>
        <w:t>majhis</w:t>
      </w:r>
      <w:proofErr w:type="spellEnd"/>
      <w:r>
        <w:rPr>
          <w:rFonts w:ascii="Times New Roman" w:eastAsia="Times New Roman" w:hAnsi="Times New Roman" w:cs="Times New Roman"/>
        </w:rPr>
        <w:t xml:space="preserve"> refused, the collectors prepared to launch an offensive, but first he deputed an officer to investigate into the cause of the disturbance and to “assure the People who have joined the </w:t>
      </w:r>
      <w:proofErr w:type="spellStart"/>
      <w:r>
        <w:rPr>
          <w:rFonts w:ascii="Times New Roman" w:eastAsia="Times New Roman" w:hAnsi="Times New Roman" w:cs="Times New Roman"/>
        </w:rPr>
        <w:t>Mankees</w:t>
      </w:r>
      <w:proofErr w:type="spellEnd"/>
      <w:r>
        <w:rPr>
          <w:rFonts w:ascii="Times New Roman" w:eastAsia="Times New Roman" w:hAnsi="Times New Roman" w:cs="Times New Roman"/>
        </w:rPr>
        <w:t xml:space="preserve"> of a Strict and Speedy redress of any Grievances provided they will return quickly to their respective villages” (GGC, vol.172, p.2163). In some cases, the government even announced rewards to apprehend the criminals (GGC, vol.200, p.39). The conciliatory efforts of the government gradually bore fruits and led to the submission of many people who had participated in the rebellions and disturbances. After some time, the inhabitants also became exhausted of the constant state of unrest and participated actively in apprehending the rebels.</w:t>
      </w:r>
    </w:p>
    <w:p w14:paraId="6D642CBC"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Another significant challenge that the company faced during this time were the growing incidents of banditry. For some, banditry served as means to procure subsistence in this region as the precarious environment rendered subsistence difficult. For others, it was a strategy to secure honour, fame and new lands over which they could rule.</w:t>
      </w:r>
      <w:r>
        <w:rPr>
          <w:rFonts w:ascii="Times New Roman" w:eastAsia="Times New Roman" w:hAnsi="Times New Roman" w:cs="Times New Roman"/>
          <w:vertAlign w:val="superscript"/>
        </w:rPr>
        <w:footnoteReference w:id="95"/>
      </w:r>
      <w:r>
        <w:rPr>
          <w:rFonts w:ascii="Times New Roman" w:eastAsia="Times New Roman" w:hAnsi="Times New Roman" w:cs="Times New Roman"/>
        </w:rPr>
        <w:t xml:space="preserve"> However, in eighteenth century banditry acquired a different meaning altogether. The British demand for increased revenue and their policy of dispossession and confinement on failure to pay revenue left little </w:t>
      </w:r>
      <w:r>
        <w:rPr>
          <w:rFonts w:ascii="Times New Roman" w:eastAsia="Times New Roman" w:hAnsi="Times New Roman" w:cs="Times New Roman"/>
        </w:rPr>
        <w:lastRenderedPageBreak/>
        <w:t xml:space="preserve">hope for the </w:t>
      </w:r>
      <w:r>
        <w:rPr>
          <w:rFonts w:ascii="Times New Roman" w:eastAsia="Times New Roman" w:hAnsi="Times New Roman" w:cs="Times New Roman"/>
          <w:i/>
        </w:rPr>
        <w:t>zamindars</w:t>
      </w:r>
      <w:r>
        <w:rPr>
          <w:rFonts w:ascii="Times New Roman" w:eastAsia="Times New Roman" w:hAnsi="Times New Roman" w:cs="Times New Roman"/>
        </w:rPr>
        <w:t xml:space="preserve"> to sustain themselves. To maximise its profit, the company also reduced the number of intermediate landholdings like those of </w:t>
      </w:r>
      <w:proofErr w:type="spellStart"/>
      <w:r>
        <w:rPr>
          <w:rFonts w:ascii="Times New Roman" w:eastAsia="Times New Roman" w:hAnsi="Times New Roman" w:cs="Times New Roman"/>
          <w:i/>
        </w:rPr>
        <w:t>ghatwals</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i/>
        </w:rPr>
        <w:t>paiks</w:t>
      </w:r>
      <w:proofErr w:type="spellEnd"/>
      <w:r>
        <w:rPr>
          <w:rFonts w:ascii="Times New Roman" w:eastAsia="Times New Roman" w:hAnsi="Times New Roman" w:cs="Times New Roman"/>
        </w:rPr>
        <w:t xml:space="preserve"> (CR, vol. 32, p.264). Thus, there emerged a kind of social coalescence between the zamindars and the class of ejected landholders who resorted to violence and together searched for social means of living, which gave it the characteristic of mass participation. For example, in 1776 when the </w:t>
      </w:r>
      <w:r>
        <w:rPr>
          <w:rFonts w:ascii="Times New Roman" w:eastAsia="Times New Roman" w:hAnsi="Times New Roman" w:cs="Times New Roman"/>
          <w:i/>
        </w:rPr>
        <w:t>zamindar</w:t>
      </w:r>
      <w:r>
        <w:rPr>
          <w:rFonts w:ascii="Times New Roman" w:eastAsia="Times New Roman" w:hAnsi="Times New Roman" w:cs="Times New Roman"/>
        </w:rPr>
        <w:t xml:space="preserve"> of </w:t>
      </w:r>
      <w:proofErr w:type="spellStart"/>
      <w:r>
        <w:rPr>
          <w:rFonts w:ascii="Times New Roman" w:eastAsia="Times New Roman" w:hAnsi="Times New Roman" w:cs="Times New Roman"/>
        </w:rPr>
        <w:t>Bogri</w:t>
      </w:r>
      <w:proofErr w:type="spellEnd"/>
      <w:r>
        <w:rPr>
          <w:rFonts w:ascii="Times New Roman" w:eastAsia="Times New Roman" w:hAnsi="Times New Roman" w:cs="Times New Roman"/>
        </w:rPr>
        <w:t xml:space="preserve"> was deposed for arrears of revenue, he along with his </w:t>
      </w:r>
      <w:proofErr w:type="spellStart"/>
      <w:r>
        <w:rPr>
          <w:rFonts w:ascii="Times New Roman" w:eastAsia="Times New Roman" w:hAnsi="Times New Roman" w:cs="Times New Roman"/>
          <w:i/>
        </w:rPr>
        <w:t>paiks</w:t>
      </w:r>
      <w:proofErr w:type="spellEnd"/>
      <w:r>
        <w:rPr>
          <w:rFonts w:ascii="Times New Roman" w:eastAsia="Times New Roman" w:hAnsi="Times New Roman" w:cs="Times New Roman"/>
        </w:rPr>
        <w:t xml:space="preserve"> committed depredations on the neighbouring rajas of Raipur and </w:t>
      </w:r>
      <w:proofErr w:type="spellStart"/>
      <w:r>
        <w:rPr>
          <w:rFonts w:ascii="Times New Roman" w:eastAsia="Times New Roman" w:hAnsi="Times New Roman" w:cs="Times New Roman"/>
        </w:rPr>
        <w:t>Simlapal</w:t>
      </w:r>
      <w:proofErr w:type="spellEnd"/>
      <w:r>
        <w:rPr>
          <w:rFonts w:ascii="Times New Roman" w:eastAsia="Times New Roman" w:hAnsi="Times New Roman" w:cs="Times New Roman"/>
        </w:rPr>
        <w:t xml:space="preserve"> (Das, 1973, pp.66-68).</w:t>
      </w:r>
    </w:p>
    <w:p w14:paraId="37151AF0"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An interesting feature that emerged during this period was the coalition between the people and the bandits. According to Marshall, it was the resistance to alien rule and the hardship and dislocation that unified them (Marshall, 1987, p.97). The situation thrust the jungle rajas into a new role of leadership whereby apart from the disgruntled subjects, even the dacoits looked </w:t>
      </w:r>
      <w:proofErr w:type="spellStart"/>
      <w:r>
        <w:rPr>
          <w:rFonts w:ascii="Times New Roman" w:eastAsia="Times New Roman" w:hAnsi="Times New Roman" w:cs="Times New Roman"/>
        </w:rPr>
        <w:t>upto</w:t>
      </w:r>
      <w:proofErr w:type="spellEnd"/>
      <w:r>
        <w:rPr>
          <w:rFonts w:ascii="Times New Roman" w:eastAsia="Times New Roman" w:hAnsi="Times New Roman" w:cs="Times New Roman"/>
        </w:rPr>
        <w:t xml:space="preserve"> them</w:t>
      </w:r>
      <w:r>
        <w:rPr>
          <w:rFonts w:ascii="Times New Roman" w:eastAsia="Times New Roman" w:hAnsi="Times New Roman" w:cs="Times New Roman"/>
          <w:i/>
        </w:rPr>
        <w:t xml:space="preserve"> </w:t>
      </w:r>
      <w:r>
        <w:rPr>
          <w:rFonts w:ascii="Times New Roman" w:eastAsia="Times New Roman" w:hAnsi="Times New Roman" w:cs="Times New Roman"/>
        </w:rPr>
        <w:t xml:space="preserve">for guidance. The dacoits mustered substantial followers and rallied around </w:t>
      </w:r>
      <w:r>
        <w:rPr>
          <w:rFonts w:ascii="Times New Roman" w:eastAsia="Times New Roman" w:hAnsi="Times New Roman" w:cs="Times New Roman"/>
          <w:i/>
        </w:rPr>
        <w:t>zamindars</w:t>
      </w:r>
      <w:r>
        <w:rPr>
          <w:rFonts w:ascii="Times New Roman" w:eastAsia="Times New Roman" w:hAnsi="Times New Roman" w:cs="Times New Roman"/>
        </w:rPr>
        <w:t xml:space="preserve">, small and big, like those of </w:t>
      </w:r>
      <w:proofErr w:type="spellStart"/>
      <w:r>
        <w:rPr>
          <w:rFonts w:ascii="Times New Roman" w:eastAsia="Times New Roman" w:hAnsi="Times New Roman" w:cs="Times New Roman"/>
        </w:rPr>
        <w:t>Ghatsila</w:t>
      </w:r>
      <w:proofErr w:type="spellEnd"/>
      <w:r>
        <w:rPr>
          <w:rFonts w:ascii="Times New Roman" w:eastAsia="Times New Roman" w:hAnsi="Times New Roman" w:cs="Times New Roman"/>
        </w:rPr>
        <w:t xml:space="preserve">, Bishnupur and Burdwan, some of who were given the derogatory title of ‘Robber-Chief’. In return, the zamindars derived dual benefit out of this coalition. They not only enriched themselves with the spoils of the plunder, but also claimed exemption from the payment of the stipulated revenue on account of robbery in their zamindari (Sen, 1988, pp.32-46). The coalition created a broad spectrum of inter-district liaison which the robbers could not have built unless supported by the </w:t>
      </w:r>
      <w:r>
        <w:rPr>
          <w:rFonts w:ascii="Times New Roman" w:eastAsia="Times New Roman" w:hAnsi="Times New Roman" w:cs="Times New Roman"/>
          <w:i/>
        </w:rPr>
        <w:t>zamindars</w:t>
      </w:r>
      <w:r>
        <w:rPr>
          <w:rFonts w:ascii="Times New Roman" w:eastAsia="Times New Roman" w:hAnsi="Times New Roman" w:cs="Times New Roman"/>
        </w:rPr>
        <w:t xml:space="preserve">. An interesting picture of this inter-district alliance of bandits is however represented by a section of people called the </w:t>
      </w:r>
      <w:proofErr w:type="spellStart"/>
      <w:r>
        <w:rPr>
          <w:rFonts w:ascii="Times New Roman" w:eastAsia="Times New Roman" w:hAnsi="Times New Roman" w:cs="Times New Roman"/>
          <w:i/>
        </w:rPr>
        <w:t>chuars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i/>
        </w:rPr>
        <w:t>Chuars</w:t>
      </w:r>
      <w:proofErr w:type="spellEnd"/>
      <w:r>
        <w:rPr>
          <w:rFonts w:ascii="Times New Roman" w:eastAsia="Times New Roman" w:hAnsi="Times New Roman" w:cs="Times New Roman"/>
        </w:rPr>
        <w:t xml:space="preserve"> inhabited the region between </w:t>
      </w:r>
      <w:proofErr w:type="spellStart"/>
      <w:r>
        <w:rPr>
          <w:rFonts w:ascii="Times New Roman" w:eastAsia="Times New Roman" w:hAnsi="Times New Roman" w:cs="Times New Roman"/>
        </w:rPr>
        <w:t>Ghatsila</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Barabhum</w:t>
      </w:r>
      <w:proofErr w:type="spellEnd"/>
      <w:r>
        <w:rPr>
          <w:rFonts w:ascii="Times New Roman" w:eastAsia="Times New Roman" w:hAnsi="Times New Roman" w:cs="Times New Roman"/>
        </w:rPr>
        <w:t xml:space="preserve"> and were originally </w:t>
      </w:r>
      <w:proofErr w:type="spellStart"/>
      <w:r>
        <w:rPr>
          <w:rFonts w:ascii="Times New Roman" w:eastAsia="Times New Roman" w:hAnsi="Times New Roman" w:cs="Times New Roman"/>
          <w:i/>
        </w:rPr>
        <w:t>bhumijs</w:t>
      </w:r>
      <w:proofErr w:type="spellEnd"/>
      <w:r>
        <w:rPr>
          <w:rFonts w:ascii="Times New Roman" w:eastAsia="Times New Roman" w:hAnsi="Times New Roman" w:cs="Times New Roman"/>
        </w:rPr>
        <w:t xml:space="preserve"> from the Jungle Mahals of Midnapur and other adjoining tracts of the </w:t>
      </w:r>
      <w:r>
        <w:rPr>
          <w:rFonts w:ascii="Times New Roman" w:eastAsia="Times New Roman" w:hAnsi="Times New Roman" w:cs="Times New Roman"/>
          <w:i/>
        </w:rPr>
        <w:t>pargana</w:t>
      </w:r>
      <w:r>
        <w:rPr>
          <w:rFonts w:ascii="Times New Roman" w:eastAsia="Times New Roman" w:hAnsi="Times New Roman" w:cs="Times New Roman"/>
        </w:rPr>
        <w:t xml:space="preserve">. They comprised the local militia of the </w:t>
      </w:r>
      <w:r>
        <w:rPr>
          <w:rFonts w:ascii="Times New Roman" w:eastAsia="Times New Roman" w:hAnsi="Times New Roman" w:cs="Times New Roman"/>
          <w:i/>
        </w:rPr>
        <w:t>zamindars</w:t>
      </w:r>
      <w:r>
        <w:rPr>
          <w:rFonts w:ascii="Times New Roman" w:eastAsia="Times New Roman" w:hAnsi="Times New Roman" w:cs="Times New Roman"/>
        </w:rPr>
        <w:t xml:space="preserve"> and tilled their </w:t>
      </w:r>
      <w:proofErr w:type="spellStart"/>
      <w:r>
        <w:rPr>
          <w:rFonts w:ascii="Times New Roman" w:eastAsia="Times New Roman" w:hAnsi="Times New Roman" w:cs="Times New Roman"/>
          <w:i/>
        </w:rPr>
        <w:t>paikan</w:t>
      </w:r>
      <w:proofErr w:type="spellEnd"/>
      <w:r>
        <w:rPr>
          <w:rFonts w:ascii="Times New Roman" w:eastAsia="Times New Roman" w:hAnsi="Times New Roman" w:cs="Times New Roman"/>
        </w:rPr>
        <w:t xml:space="preserve"> lands in peaceful times. However, the company officials define them as zamindar’s men who practiced robbery in other districts and not their own. A letter from the collector of Midnapur described the </w:t>
      </w:r>
      <w:proofErr w:type="spellStart"/>
      <w:r>
        <w:rPr>
          <w:rFonts w:ascii="Times New Roman" w:eastAsia="Times New Roman" w:hAnsi="Times New Roman" w:cs="Times New Roman"/>
          <w:i/>
        </w:rPr>
        <w:t>chuars</w:t>
      </w:r>
      <w:proofErr w:type="spellEnd"/>
      <w:r>
        <w:rPr>
          <w:rFonts w:ascii="Times New Roman" w:eastAsia="Times New Roman" w:hAnsi="Times New Roman" w:cs="Times New Roman"/>
        </w:rPr>
        <w:t xml:space="preserve"> as inhabitants who were “bred up as much for pillaging as cultivating, and pay a quit rent from the profits of both occupations …” (Price, 1876, p. 67) The </w:t>
      </w:r>
      <w:proofErr w:type="spellStart"/>
      <w:r>
        <w:rPr>
          <w:rFonts w:ascii="Times New Roman" w:eastAsia="Times New Roman" w:hAnsi="Times New Roman" w:cs="Times New Roman"/>
          <w:i/>
        </w:rPr>
        <w:t>thanedar</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Bulrampore</w:t>
      </w:r>
      <w:proofErr w:type="spellEnd"/>
      <w:r>
        <w:rPr>
          <w:rFonts w:ascii="Times New Roman" w:eastAsia="Times New Roman" w:hAnsi="Times New Roman" w:cs="Times New Roman"/>
        </w:rPr>
        <w:t xml:space="preserve"> even went to the extent of equating them to </w:t>
      </w:r>
      <w:r>
        <w:rPr>
          <w:rFonts w:ascii="Times New Roman" w:eastAsia="Times New Roman" w:hAnsi="Times New Roman" w:cs="Times New Roman"/>
          <w:i/>
        </w:rPr>
        <w:t>‘</w:t>
      </w:r>
      <w:proofErr w:type="spellStart"/>
      <w:r>
        <w:rPr>
          <w:rFonts w:ascii="Times New Roman" w:eastAsia="Times New Roman" w:hAnsi="Times New Roman" w:cs="Times New Roman"/>
          <w:i/>
        </w:rPr>
        <w:t>Dekoits</w:t>
      </w:r>
      <w:proofErr w:type="spellEnd"/>
      <w:r>
        <w:rPr>
          <w:rFonts w:ascii="Times New Roman" w:eastAsia="Times New Roman" w:hAnsi="Times New Roman" w:cs="Times New Roman"/>
          <w:i/>
        </w:rPr>
        <w:t xml:space="preserve">’ </w:t>
      </w:r>
      <w:r>
        <w:rPr>
          <w:rFonts w:ascii="Times New Roman" w:eastAsia="Times New Roman" w:hAnsi="Times New Roman" w:cs="Times New Roman"/>
        </w:rPr>
        <w:t>(CR, vol.33, p.249). In eighteenth century, banditry therefore became an important means to defy British authority. </w:t>
      </w:r>
    </w:p>
    <w:p w14:paraId="3FB73F95"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To contain the situation, the company adopted a very effective strategy that involved the enrolment of disgruntled </w:t>
      </w:r>
      <w:proofErr w:type="spellStart"/>
      <w:r>
        <w:rPr>
          <w:rFonts w:ascii="Times New Roman" w:eastAsia="Times New Roman" w:hAnsi="Times New Roman" w:cs="Times New Roman"/>
          <w:i/>
        </w:rPr>
        <w:t>paiks</w:t>
      </w:r>
      <w:proofErr w:type="spellEnd"/>
      <w:r>
        <w:rPr>
          <w:rFonts w:ascii="Times New Roman" w:eastAsia="Times New Roman" w:hAnsi="Times New Roman" w:cs="Times New Roman"/>
        </w:rPr>
        <w:t xml:space="preserve"> in the Indian regiment who were deployed to quell disturbances in this region. The </w:t>
      </w:r>
      <w:proofErr w:type="spellStart"/>
      <w:r>
        <w:rPr>
          <w:rFonts w:ascii="Times New Roman" w:eastAsia="Times New Roman" w:hAnsi="Times New Roman" w:cs="Times New Roman"/>
          <w:i/>
        </w:rPr>
        <w:t>paiks</w:t>
      </w:r>
      <w:proofErr w:type="spellEnd"/>
      <w:r>
        <w:rPr>
          <w:rFonts w:ascii="Times New Roman" w:eastAsia="Times New Roman" w:hAnsi="Times New Roman" w:cs="Times New Roman"/>
          <w:i/>
        </w:rPr>
        <w:t>,</w:t>
      </w:r>
      <w:r>
        <w:rPr>
          <w:rFonts w:ascii="Times New Roman" w:eastAsia="Times New Roman" w:hAnsi="Times New Roman" w:cs="Times New Roman"/>
        </w:rPr>
        <w:t xml:space="preserve"> who were once regarded as the most dreaded foe of the company were thus transformed into loyal and efficient army of the Company. The strategy however did not yield the result as expected. Often the </w:t>
      </w:r>
      <w:proofErr w:type="spellStart"/>
      <w:r>
        <w:rPr>
          <w:rFonts w:ascii="Times New Roman" w:eastAsia="Times New Roman" w:hAnsi="Times New Roman" w:cs="Times New Roman"/>
          <w:i/>
        </w:rPr>
        <w:t>paiks</w:t>
      </w:r>
      <w:proofErr w:type="spellEnd"/>
      <w:r>
        <w:rPr>
          <w:rFonts w:ascii="Times New Roman" w:eastAsia="Times New Roman" w:hAnsi="Times New Roman" w:cs="Times New Roman"/>
        </w:rPr>
        <w:t xml:space="preserve"> along with the company troops </w:t>
      </w:r>
      <w:r>
        <w:rPr>
          <w:rFonts w:ascii="Times New Roman" w:eastAsia="Times New Roman" w:hAnsi="Times New Roman" w:cs="Times New Roman"/>
        </w:rPr>
        <w:lastRenderedPageBreak/>
        <w:t>became undisciplined and committed excesses on the subjects. The number of thanas established in these areas were also insufficient and undermanned to keep such a situation under control (Sen, 1988, p.102).</w:t>
      </w:r>
    </w:p>
    <w:p w14:paraId="740EFB29"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frequent transfer of the battalions further added to the woes of the company. According to the Collector of </w:t>
      </w:r>
      <w:proofErr w:type="spellStart"/>
      <w:r>
        <w:rPr>
          <w:rFonts w:ascii="Times New Roman" w:eastAsia="Times New Roman" w:hAnsi="Times New Roman" w:cs="Times New Roman"/>
        </w:rPr>
        <w:t>Ramgur</w:t>
      </w:r>
      <w:proofErr w:type="spellEnd"/>
      <w:r>
        <w:rPr>
          <w:rFonts w:ascii="Times New Roman" w:eastAsia="Times New Roman" w:hAnsi="Times New Roman" w:cs="Times New Roman"/>
        </w:rPr>
        <w:t xml:space="preserve">, “relieving the Battalion every year,... prevents the Commanding Officers from getting a Sufficient knowledge of the People and Country to enable them to act with proper effect, and takes off that dread that people would naturally have of an officer by whom they had once been worsted” (GGC, vol. 162). The presence of independent districts within the Jungle Mahals and the presence of Marathas in the border, provided safe retreat to the malcontents when pursued by the forces. The division of the country into various administrative divisions proved to be yet another hurdle. For instance, in </w:t>
      </w:r>
      <w:proofErr w:type="spellStart"/>
      <w:r>
        <w:rPr>
          <w:rFonts w:ascii="Times New Roman" w:eastAsia="Times New Roman" w:hAnsi="Times New Roman" w:cs="Times New Roman"/>
        </w:rPr>
        <w:t>Bogri</w:t>
      </w:r>
      <w:proofErr w:type="spellEnd"/>
      <w:r>
        <w:rPr>
          <w:rFonts w:ascii="Times New Roman" w:eastAsia="Times New Roman" w:hAnsi="Times New Roman" w:cs="Times New Roman"/>
        </w:rPr>
        <w:t xml:space="preserve">, the disobedient </w:t>
      </w:r>
      <w:proofErr w:type="spellStart"/>
      <w:r>
        <w:rPr>
          <w:rFonts w:ascii="Times New Roman" w:eastAsia="Times New Roman" w:hAnsi="Times New Roman" w:cs="Times New Roman"/>
          <w:i/>
        </w:rPr>
        <w:t>chuars</w:t>
      </w:r>
      <w:proofErr w:type="spellEnd"/>
      <w:r>
        <w:rPr>
          <w:rFonts w:ascii="Times New Roman" w:eastAsia="Times New Roman" w:hAnsi="Times New Roman" w:cs="Times New Roman"/>
        </w:rPr>
        <w:t xml:space="preserve"> eluded the pursuit by taking refuge in the neighbouring districts of Midnapur and Bishnupur where the officer could not follow them without special orders (</w:t>
      </w:r>
      <w:proofErr w:type="spellStart"/>
      <w:r>
        <w:rPr>
          <w:rFonts w:ascii="Times New Roman" w:eastAsia="Times New Roman" w:hAnsi="Times New Roman" w:cs="Times New Roman"/>
        </w:rPr>
        <w:t>Firminger</w:t>
      </w:r>
      <w:proofErr w:type="spellEnd"/>
      <w:r>
        <w:rPr>
          <w:rFonts w:ascii="Times New Roman" w:eastAsia="Times New Roman" w:hAnsi="Times New Roman" w:cs="Times New Roman"/>
        </w:rPr>
        <w:t>, 1915, L.N. 532).  As a result, resistance in various form continued to raise its head during the entire period under study.</w:t>
      </w:r>
    </w:p>
    <w:p w14:paraId="7DC65165"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Another faction that could further destabilize the already unstable situation in the Jungle Mahals were the Marathas. It was not only important for the company to prevent Maratha inroads into the region but also to prevent the inhabitants from collaborating with them. In 1772, when the Marathas attacked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the company immediately deployed a military force to chase them out. However, the Marathas received assistance from the rajas of Tori and </w:t>
      </w:r>
      <w:proofErr w:type="spellStart"/>
      <w:r>
        <w:rPr>
          <w:rFonts w:ascii="Times New Roman" w:eastAsia="Times New Roman" w:hAnsi="Times New Roman" w:cs="Times New Roman"/>
        </w:rPr>
        <w:t>Burwa</w:t>
      </w:r>
      <w:proofErr w:type="spellEnd"/>
      <w:r>
        <w:rPr>
          <w:rFonts w:ascii="Times New Roman" w:eastAsia="Times New Roman" w:hAnsi="Times New Roman" w:cs="Times New Roman"/>
        </w:rPr>
        <w:t xml:space="preserve">. It was believed that raja of </w:t>
      </w:r>
      <w:proofErr w:type="spellStart"/>
      <w:r>
        <w:rPr>
          <w:rFonts w:ascii="Times New Roman" w:eastAsia="Times New Roman" w:hAnsi="Times New Roman" w:cs="Times New Roman"/>
        </w:rPr>
        <w:t>Ramgur</w:t>
      </w:r>
      <w:proofErr w:type="spellEnd"/>
      <w:r>
        <w:rPr>
          <w:rFonts w:ascii="Times New Roman" w:eastAsia="Times New Roman" w:hAnsi="Times New Roman" w:cs="Times New Roman"/>
        </w:rPr>
        <w:t xml:space="preserve"> was very much in league with them and that they probably came at his invitation (</w:t>
      </w:r>
      <w:proofErr w:type="spellStart"/>
      <w:r>
        <w:rPr>
          <w:rFonts w:ascii="Times New Roman" w:eastAsia="Times New Roman" w:hAnsi="Times New Roman" w:cs="Times New Roman"/>
        </w:rPr>
        <w:t>Virottam</w:t>
      </w:r>
      <w:proofErr w:type="spellEnd"/>
      <w:r>
        <w:rPr>
          <w:rFonts w:ascii="Times New Roman" w:eastAsia="Times New Roman" w:hAnsi="Times New Roman" w:cs="Times New Roman"/>
        </w:rPr>
        <w:t xml:space="preserve">, 1972, pp 136-138). The company soon realized that it was almost impossible to expect unwavering loyalty from its subjects. Instead, it reduced the power of the refractory border chiefs like those of Bundu, Tamar and </w:t>
      </w:r>
      <w:proofErr w:type="spellStart"/>
      <w:r>
        <w:rPr>
          <w:rFonts w:ascii="Times New Roman" w:eastAsia="Times New Roman" w:hAnsi="Times New Roman" w:cs="Times New Roman"/>
        </w:rPr>
        <w:t>Burwa</w:t>
      </w:r>
      <w:proofErr w:type="spellEnd"/>
      <w:r>
        <w:rPr>
          <w:rFonts w:ascii="Times New Roman" w:eastAsia="Times New Roman" w:hAnsi="Times New Roman" w:cs="Times New Roman"/>
        </w:rPr>
        <w:t xml:space="preserve"> and reduced the number of vassals they maintained to deter them from providing assistance to the Marathas.</w:t>
      </w:r>
    </w:p>
    <w:p w14:paraId="3C2D997C"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desire of the company to establish control through economic subjugation also had its own set of challenges. The lack of exact evaluation of the districts greatly impaired the company’s ability to extract proper revenue. According to an official posted at </w:t>
      </w:r>
      <w:proofErr w:type="spellStart"/>
      <w:r>
        <w:rPr>
          <w:rFonts w:ascii="Times New Roman" w:eastAsia="Times New Roman" w:hAnsi="Times New Roman" w:cs="Times New Roman"/>
        </w:rPr>
        <w:t>Jhalda</w:t>
      </w:r>
      <w:proofErr w:type="spellEnd"/>
      <w:r>
        <w:rPr>
          <w:rFonts w:ascii="Times New Roman" w:eastAsia="Times New Roman" w:hAnsi="Times New Roman" w:cs="Times New Roman"/>
        </w:rPr>
        <w:t xml:space="preserve"> “The land in these Parts never having been measured it cannot be ascertained with any exactness what quantity of cultivated or waste ground is in each District this entirely prevents the Revenue being levied by the Bega or any fixed modes adapted in the Low Countries...” (PCRB, vol.24). The revenue papers provided by the local revenue officials which were soon </w:t>
      </w:r>
      <w:r>
        <w:rPr>
          <w:rFonts w:ascii="Times New Roman" w:eastAsia="Times New Roman" w:hAnsi="Times New Roman" w:cs="Times New Roman"/>
        </w:rPr>
        <w:lastRenderedPageBreak/>
        <w:t xml:space="preserve">discovered to be highly falsified. Desertions and migrations caused by natural calamities and rebellions also plagued the collections. Withholding the revenue </w:t>
      </w:r>
      <w:proofErr w:type="spellStart"/>
      <w:r>
        <w:rPr>
          <w:rFonts w:ascii="Times New Roman" w:eastAsia="Times New Roman" w:hAnsi="Times New Roman" w:cs="Times New Roman"/>
        </w:rPr>
        <w:t>infact</w:t>
      </w:r>
      <w:proofErr w:type="spellEnd"/>
      <w:r>
        <w:rPr>
          <w:rFonts w:ascii="Times New Roman" w:eastAsia="Times New Roman" w:hAnsi="Times New Roman" w:cs="Times New Roman"/>
        </w:rPr>
        <w:t xml:space="preserve"> became the most common method to express dissent. As early as 1768, </w:t>
      </w:r>
      <w:proofErr w:type="spellStart"/>
      <w:r>
        <w:rPr>
          <w:rFonts w:ascii="Times New Roman" w:eastAsia="Times New Roman" w:hAnsi="Times New Roman" w:cs="Times New Roman"/>
        </w:rPr>
        <w:t>Ghatsila</w:t>
      </w:r>
      <w:proofErr w:type="spellEnd"/>
      <w:r>
        <w:rPr>
          <w:rFonts w:ascii="Times New Roman" w:eastAsia="Times New Roman" w:hAnsi="Times New Roman" w:cs="Times New Roman"/>
        </w:rPr>
        <w:t xml:space="preserve"> was in arrears (</w:t>
      </w:r>
      <w:proofErr w:type="spellStart"/>
      <w:r>
        <w:rPr>
          <w:rFonts w:ascii="Times New Roman" w:eastAsia="Times New Roman" w:hAnsi="Times New Roman" w:cs="Times New Roman"/>
        </w:rPr>
        <w:t>Firminger</w:t>
      </w:r>
      <w:proofErr w:type="spellEnd"/>
      <w:r>
        <w:rPr>
          <w:rFonts w:ascii="Times New Roman" w:eastAsia="Times New Roman" w:hAnsi="Times New Roman" w:cs="Times New Roman"/>
        </w:rPr>
        <w:t xml:space="preserve">, 1915, P.70). In 1779, there were complaints that the </w:t>
      </w:r>
      <w:proofErr w:type="spellStart"/>
      <w:r>
        <w:rPr>
          <w:rFonts w:ascii="Times New Roman" w:eastAsia="Times New Roman" w:hAnsi="Times New Roman" w:cs="Times New Roman"/>
        </w:rPr>
        <w:t>Chotanagpur</w:t>
      </w:r>
      <w:proofErr w:type="spellEnd"/>
      <w:r>
        <w:rPr>
          <w:rFonts w:ascii="Times New Roman" w:eastAsia="Times New Roman" w:hAnsi="Times New Roman" w:cs="Times New Roman"/>
        </w:rPr>
        <w:t xml:space="preserve"> raja had withheld the payment of revenue and had turned hostile (GGC, vol. 74; GGC, vol. 55, LN. 273). Similar reports poured in from other districts as well. In response some of the recalcitrant </w:t>
      </w:r>
      <w:r>
        <w:rPr>
          <w:rFonts w:ascii="Times New Roman" w:eastAsia="Times New Roman" w:hAnsi="Times New Roman" w:cs="Times New Roman"/>
          <w:i/>
        </w:rPr>
        <w:t>zamindars</w:t>
      </w:r>
      <w:r>
        <w:rPr>
          <w:rFonts w:ascii="Times New Roman" w:eastAsia="Times New Roman" w:hAnsi="Times New Roman" w:cs="Times New Roman"/>
        </w:rPr>
        <w:t xml:space="preserve"> were removed and replaced by men worthy of trust. However, the policy of dispossession wasn’t very effective as many powerful </w:t>
      </w:r>
      <w:r>
        <w:rPr>
          <w:rFonts w:ascii="Times New Roman" w:eastAsia="Times New Roman" w:hAnsi="Times New Roman" w:cs="Times New Roman"/>
          <w:i/>
        </w:rPr>
        <w:t>zamindars</w:t>
      </w:r>
      <w:r>
        <w:rPr>
          <w:rFonts w:ascii="Times New Roman" w:eastAsia="Times New Roman" w:hAnsi="Times New Roman" w:cs="Times New Roman"/>
        </w:rPr>
        <w:t xml:space="preserve"> continued to hold sway in their respective </w:t>
      </w:r>
      <w:r>
        <w:rPr>
          <w:rFonts w:ascii="Times New Roman" w:eastAsia="Times New Roman" w:hAnsi="Times New Roman" w:cs="Times New Roman"/>
          <w:i/>
        </w:rPr>
        <w:t>zamindaris</w:t>
      </w:r>
      <w:r>
        <w:rPr>
          <w:rFonts w:ascii="Times New Roman" w:eastAsia="Times New Roman" w:hAnsi="Times New Roman" w:cs="Times New Roman"/>
        </w:rPr>
        <w:t xml:space="preserve"> like those of </w:t>
      </w:r>
      <w:proofErr w:type="spellStart"/>
      <w:r>
        <w:rPr>
          <w:rFonts w:ascii="Times New Roman" w:eastAsia="Times New Roman" w:hAnsi="Times New Roman" w:cs="Times New Roman"/>
        </w:rPr>
        <w:t>Bogri</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Palamu</w:t>
      </w:r>
      <w:proofErr w:type="spellEnd"/>
      <w:r>
        <w:rPr>
          <w:rFonts w:ascii="Times New Roman" w:eastAsia="Times New Roman" w:hAnsi="Times New Roman" w:cs="Times New Roman"/>
        </w:rPr>
        <w:t xml:space="preserve"> (GGC, vol.55, L.N. 273). In </w:t>
      </w:r>
      <w:proofErr w:type="spellStart"/>
      <w:r>
        <w:rPr>
          <w:rFonts w:ascii="Times New Roman" w:eastAsia="Times New Roman" w:hAnsi="Times New Roman" w:cs="Times New Roman"/>
        </w:rPr>
        <w:t>Ghatsila</w:t>
      </w:r>
      <w:proofErr w:type="spellEnd"/>
      <w:r>
        <w:rPr>
          <w:rFonts w:ascii="Times New Roman" w:eastAsia="Times New Roman" w:hAnsi="Times New Roman" w:cs="Times New Roman"/>
        </w:rPr>
        <w:t xml:space="preserve">, the company even reinstated the recalcitrant </w:t>
      </w:r>
      <w:r>
        <w:rPr>
          <w:rFonts w:ascii="Times New Roman" w:eastAsia="Times New Roman" w:hAnsi="Times New Roman" w:cs="Times New Roman"/>
          <w:i/>
        </w:rPr>
        <w:t>zamindar</w:t>
      </w:r>
      <w:r>
        <w:rPr>
          <w:rFonts w:ascii="Times New Roman" w:eastAsia="Times New Roman" w:hAnsi="Times New Roman" w:cs="Times New Roman"/>
        </w:rPr>
        <w:t xml:space="preserve"> to his </w:t>
      </w:r>
      <w:r>
        <w:rPr>
          <w:rFonts w:ascii="Times New Roman" w:eastAsia="Times New Roman" w:hAnsi="Times New Roman" w:cs="Times New Roman"/>
          <w:i/>
        </w:rPr>
        <w:t>zamindari</w:t>
      </w:r>
      <w:r>
        <w:rPr>
          <w:rFonts w:ascii="Times New Roman" w:eastAsia="Times New Roman" w:hAnsi="Times New Roman" w:cs="Times New Roman"/>
        </w:rPr>
        <w:t xml:space="preserve"> to restore order (PCRB, vol. 15, p.64). Besides, some of the replacements also proved to be tactless and incapable of keeping the </w:t>
      </w:r>
      <w:r>
        <w:rPr>
          <w:rFonts w:ascii="Times New Roman" w:eastAsia="Times New Roman" w:hAnsi="Times New Roman" w:cs="Times New Roman"/>
          <w:i/>
        </w:rPr>
        <w:t>zamindari</w:t>
      </w:r>
      <w:r>
        <w:rPr>
          <w:rFonts w:ascii="Times New Roman" w:eastAsia="Times New Roman" w:hAnsi="Times New Roman" w:cs="Times New Roman"/>
        </w:rPr>
        <w:t xml:space="preserve"> under their proper control as they did not enjoy the confidence and attachment of most of the subjects as happened in case of </w:t>
      </w:r>
      <w:proofErr w:type="spellStart"/>
      <w:r>
        <w:rPr>
          <w:rFonts w:ascii="Times New Roman" w:eastAsia="Times New Roman" w:hAnsi="Times New Roman" w:cs="Times New Roman"/>
        </w:rPr>
        <w:t>Palamu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Virottam</w:t>
      </w:r>
      <w:proofErr w:type="spellEnd"/>
      <w:r>
        <w:rPr>
          <w:rFonts w:ascii="Times New Roman" w:eastAsia="Times New Roman" w:hAnsi="Times New Roman" w:cs="Times New Roman"/>
        </w:rPr>
        <w:t>, 1972, p.106).</w:t>
      </w:r>
    </w:p>
    <w:p w14:paraId="3C660563"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heavy cost incurred in reducing the Jungle Mahals to a state of subordination finally made the company realize that the only cost-effective means to ensure the obedience of the inhabitants was by making them civilized. According to the officials, the people of the region were rebellious because of their uncivilized state and that they could be civilized by being induced to take up settled cultivation which would not only provide them with a stable means of subsistence but also obviate the necessity to choose violence. It was believed that “By Measures of this nature, the Country will not only be enriched, but civilized, and its Dependence on the Government better Secured than merely by the presence and awe of a military force” (GGC, vol.8, L.N. 17). The Civil Collectors in the jungle districts, were therefore instructed to provide encouragement to agriculture and commerce by granting waste lands at nominal assessment and disbursing advances for agriculture In </w:t>
      </w:r>
      <w:proofErr w:type="spellStart"/>
      <w:r>
        <w:rPr>
          <w:rFonts w:ascii="Times New Roman" w:eastAsia="Times New Roman" w:hAnsi="Times New Roman" w:cs="Times New Roman"/>
        </w:rPr>
        <w:t>Bogri</w:t>
      </w:r>
      <w:proofErr w:type="spellEnd"/>
      <w:r>
        <w:rPr>
          <w:rFonts w:ascii="Times New Roman" w:eastAsia="Times New Roman" w:hAnsi="Times New Roman" w:cs="Times New Roman"/>
        </w:rPr>
        <w:t xml:space="preserve">, the government made advances under the head of </w:t>
      </w:r>
      <w:proofErr w:type="spellStart"/>
      <w:r>
        <w:rPr>
          <w:rFonts w:ascii="Times New Roman" w:eastAsia="Times New Roman" w:hAnsi="Times New Roman" w:cs="Times New Roman"/>
          <w:i/>
        </w:rPr>
        <w:t>Bazee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Jungul</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Serinjam</w:t>
      </w:r>
      <w:proofErr w:type="spellEnd"/>
      <w:r>
        <w:rPr>
          <w:rFonts w:ascii="Times New Roman" w:eastAsia="Times New Roman" w:hAnsi="Times New Roman" w:cs="Times New Roman"/>
        </w:rPr>
        <w:t xml:space="preserve"> to keep the people employed and keep their violent tendencies in check (CR, vol.47, p.185). Although the British authorities perceived agriculture to be the only solution to the problems; in reality, the climate and poor fertility of the soil made agriculture very restricted. For instance, with regard to the state of agriculture in </w:t>
      </w:r>
      <w:proofErr w:type="spellStart"/>
      <w:r>
        <w:rPr>
          <w:rFonts w:ascii="Times New Roman" w:eastAsia="Times New Roman" w:hAnsi="Times New Roman" w:cs="Times New Roman"/>
        </w:rPr>
        <w:t>Ramgur</w:t>
      </w:r>
      <w:proofErr w:type="spellEnd"/>
      <w:r>
        <w:rPr>
          <w:rFonts w:ascii="Times New Roman" w:eastAsia="Times New Roman" w:hAnsi="Times New Roman" w:cs="Times New Roman"/>
        </w:rPr>
        <w:t xml:space="preserve">, the collector remarked that “From the nature of the Country being so hilly there are very few spots that will admit of cultivation – they have only One Crop in the year.” (GGC, vol. 44, p. 382). Resource mobilisation through plunder was just another means of procuring subsistence. Thus, in the name of civilizing the country, the company did not provide a solution but rather attempted to simply substitute one form of subsistence with </w:t>
      </w:r>
      <w:r>
        <w:rPr>
          <w:rFonts w:ascii="Times New Roman" w:eastAsia="Times New Roman" w:hAnsi="Times New Roman" w:cs="Times New Roman"/>
        </w:rPr>
        <w:lastRenderedPageBreak/>
        <w:t>another. In reality, the British officials wanted the forest dwellers to adapt more to the habits and occupations of the plain country, not because they considered the plain people civilized, but because they did not pose much threat to the company and were easy to control. In fact, James Browne in his India Tracts described the inhabitants of the plains as ‘wretched’ and ‘spiritless’ people who were ‘neither formidable by character or situation’. The British government thus developed an altogether different understanding of the term ‘civilization’ to suit their needs, which was used merely as a tool to reduce ‘disobedient’ and ‘violent’ inhabitants into obedient and profitable subjects. For most British officials, the difference between tribes and castes was therefore not the one between the civilized and the wild, it was rather about different form of wildness. (Skaria, 1997, p. 727)</w:t>
      </w:r>
    </w:p>
    <w:p w14:paraId="30E96A8D" w14:textId="77777777" w:rsidR="003934E1" w:rsidRDefault="00000000">
      <w:pPr>
        <w:numPr>
          <w:ilvl w:val="0"/>
          <w:numId w:val="15"/>
        </w:numPr>
        <w:spacing w:after="160" w:line="360" w:lineRule="auto"/>
        <w:rPr>
          <w:rFonts w:ascii="Times New Roman" w:eastAsia="Times New Roman" w:hAnsi="Times New Roman" w:cs="Times New Roman"/>
          <w:b/>
        </w:rPr>
      </w:pPr>
      <w:r>
        <w:rPr>
          <w:rFonts w:ascii="Times New Roman" w:eastAsia="Times New Roman" w:hAnsi="Times New Roman" w:cs="Times New Roman"/>
          <w:b/>
        </w:rPr>
        <w:t>Conclusion</w:t>
      </w:r>
    </w:p>
    <w:p w14:paraId="05A976EC" w14:textId="77777777" w:rsidR="003934E1" w:rsidRDefault="00000000">
      <w:pPr>
        <w:spacing w:after="160" w:line="360" w:lineRule="auto"/>
        <w:ind w:firstLine="720"/>
        <w:jc w:val="both"/>
        <w:rPr>
          <w:rFonts w:ascii="Times New Roman" w:eastAsia="Times New Roman" w:hAnsi="Times New Roman" w:cs="Times New Roman"/>
        </w:rPr>
      </w:pPr>
      <w:r>
        <w:rPr>
          <w:rFonts w:ascii="Times New Roman" w:eastAsia="Times New Roman" w:hAnsi="Times New Roman" w:cs="Times New Roman"/>
        </w:rPr>
        <w:t>Late eighteenth century Jungle Mahals thus presents a situation where the belief of EIC on its superior and ‘civilized’ system of administration was challenged. Despite acquiring the Diwani rights in 1765, it took them almost four decades to finally establish a solid footing in this region. Even though they resorted to military tactics in the beginning, they soon realized the futility of their advanced weapons in a place where people mostly resorted to guerilla tactics and fought with bows and arrows. Gradually, they gravitated more towards a diplomatic approach which eventually proved to be more economical and effective. In the process they also tried to acquaint themselves with the country and devised policies accordingly rather than implement those which had been successful in plain areas. It was this knowledge which subsequently enabled the company to develop a better strategy for this region and counter resistance which occurred in the later centuries. Simultaneously, it is also important to acknowledge the fact that even though the resistance offered by the inhabitants of the Jungle Mahals were scattered and sporadic, nevertheless they were effective and slowed down the pace of British advance. These resistance not only kept alive the desire for autonomy and dignity among the jungle inhabitants but also laid down the foundation for subsequent uprisings. </w:t>
      </w:r>
    </w:p>
    <w:p w14:paraId="5143EB17" w14:textId="77777777" w:rsidR="003934E1" w:rsidRDefault="003934E1">
      <w:pPr>
        <w:spacing w:after="160" w:line="360" w:lineRule="auto"/>
        <w:jc w:val="both"/>
        <w:rPr>
          <w:rFonts w:ascii="Times New Roman" w:eastAsia="Times New Roman" w:hAnsi="Times New Roman" w:cs="Times New Roman"/>
        </w:rPr>
      </w:pPr>
    </w:p>
    <w:p w14:paraId="359EA367" w14:textId="77777777" w:rsidR="003934E1" w:rsidRDefault="00000000">
      <w:pPr>
        <w:spacing w:after="160" w:line="36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*Disclaimer: </w:t>
      </w:r>
      <w:r>
        <w:rPr>
          <w:rFonts w:ascii="Times New Roman" w:eastAsia="Times New Roman" w:hAnsi="Times New Roman" w:cs="Times New Roman"/>
          <w:sz w:val="20"/>
          <w:szCs w:val="20"/>
        </w:rPr>
        <w:t>I hereby declare that this research paper, entitled “Tribal Resistance in the Late Eighteenth Century Jungle Mahals”, is my original work. I have made every effort to acknowledge all sources used, whether directly quoted or paraphrased. I have not submitted this work for assessment elsewhere.</w:t>
      </w:r>
    </w:p>
    <w:p w14:paraId="7BD47E4A" w14:textId="77777777" w:rsidR="00C034F0" w:rsidRDefault="00C034F0">
      <w:pPr>
        <w:spacing w:after="160" w:line="360" w:lineRule="auto"/>
        <w:jc w:val="both"/>
        <w:rPr>
          <w:rFonts w:ascii="Times New Roman" w:eastAsia="Times New Roman" w:hAnsi="Times New Roman" w:cs="Times New Roman"/>
          <w:sz w:val="20"/>
          <w:szCs w:val="20"/>
        </w:rPr>
      </w:pPr>
    </w:p>
    <w:p w14:paraId="09201585" w14:textId="77777777" w:rsidR="00C034F0" w:rsidRPr="00EB61EF" w:rsidRDefault="00C034F0" w:rsidP="00C034F0">
      <w:pPr>
        <w:spacing w:before="100" w:beforeAutospacing="1" w:after="100" w:afterAutospacing="1"/>
        <w:jc w:val="center"/>
        <w:outlineLvl w:val="1"/>
        <w:rPr>
          <w:rFonts w:ascii="Times New Roman" w:eastAsia="Times New Roman" w:hAnsi="Times New Roman" w:cs="Times New Roman"/>
          <w:b/>
          <w:bCs/>
          <w:sz w:val="28"/>
          <w:szCs w:val="28"/>
          <w:u w:val="single"/>
        </w:rPr>
      </w:pPr>
      <w:r w:rsidRPr="00EB61EF">
        <w:rPr>
          <w:rFonts w:ascii="Times New Roman" w:eastAsia="Times New Roman" w:hAnsi="Times New Roman" w:cs="Times New Roman"/>
          <w:b/>
          <w:bCs/>
          <w:sz w:val="28"/>
          <w:szCs w:val="28"/>
          <w:u w:val="single"/>
        </w:rPr>
        <w:lastRenderedPageBreak/>
        <w:t>Contribution of the Seminar to the Existing Body of Research</w:t>
      </w:r>
    </w:p>
    <w:p w14:paraId="2EE640B2" w14:textId="77777777" w:rsidR="00C034F0" w:rsidRPr="00181AE4" w:rsidRDefault="00C034F0" w:rsidP="00C034F0">
      <w:pPr>
        <w:spacing w:before="100" w:beforeAutospacing="1" w:after="100" w:afterAutospacing="1"/>
        <w:jc w:val="both"/>
        <w:rPr>
          <w:rFonts w:ascii="Times New Roman" w:eastAsia="Times New Roman" w:hAnsi="Times New Roman" w:cs="Times New Roman"/>
        </w:rPr>
      </w:pPr>
      <w:r w:rsidRPr="00181AE4">
        <w:rPr>
          <w:rFonts w:ascii="Times New Roman" w:eastAsia="Times New Roman" w:hAnsi="Times New Roman" w:cs="Times New Roman"/>
        </w:rPr>
        <w:t xml:space="preserve">The seminar offers a substantial contribution to the existing body of research on </w:t>
      </w:r>
      <w:r w:rsidRPr="00181AE4">
        <w:rPr>
          <w:rFonts w:ascii="Times New Roman" w:eastAsia="Times New Roman" w:hAnsi="Times New Roman" w:cs="Times New Roman"/>
          <w:b/>
          <w:bCs/>
        </w:rPr>
        <w:t>decolonization</w:t>
      </w:r>
      <w:r w:rsidRPr="00181AE4">
        <w:rPr>
          <w:rFonts w:ascii="Times New Roman" w:eastAsia="Times New Roman" w:hAnsi="Times New Roman" w:cs="Times New Roman"/>
        </w:rPr>
        <w:t xml:space="preserve">, </w:t>
      </w:r>
      <w:r w:rsidRPr="00181AE4">
        <w:rPr>
          <w:rFonts w:ascii="Times New Roman" w:eastAsia="Times New Roman" w:hAnsi="Times New Roman" w:cs="Times New Roman"/>
          <w:b/>
          <w:bCs/>
        </w:rPr>
        <w:t>indigenous studies</w:t>
      </w:r>
      <w:r w:rsidRPr="00181AE4">
        <w:rPr>
          <w:rFonts w:ascii="Times New Roman" w:eastAsia="Times New Roman" w:hAnsi="Times New Roman" w:cs="Times New Roman"/>
        </w:rPr>
        <w:t xml:space="preserve">, and </w:t>
      </w:r>
      <w:r w:rsidRPr="00181AE4">
        <w:rPr>
          <w:rFonts w:ascii="Times New Roman" w:eastAsia="Times New Roman" w:hAnsi="Times New Roman" w:cs="Times New Roman"/>
          <w:b/>
          <w:bCs/>
        </w:rPr>
        <w:t>subaltern history</w:t>
      </w:r>
      <w:r w:rsidRPr="00181AE4">
        <w:rPr>
          <w:rFonts w:ascii="Times New Roman" w:eastAsia="Times New Roman" w:hAnsi="Times New Roman" w:cs="Times New Roman"/>
        </w:rPr>
        <w:t xml:space="preserve"> by providing a multi-faceted and critical analysis of Adivasi resistance, using Birsa Munda as a central, yet deconstructed, figure. It moves beyond a celebratory narrative of historical icons to an examination of the systemic issues that continue to affect Adivasi communities. The key contributions can be categorized into four main areas: decolonizing frameworks, linguistic and cultural preservation, historical re-evaluation, and the politics of memory.</w:t>
      </w:r>
    </w:p>
    <w:p w14:paraId="524CBB0A" w14:textId="77777777" w:rsidR="00C034F0" w:rsidRPr="00181AE4" w:rsidRDefault="00EB61EF" w:rsidP="00C034F0">
      <w:pPr>
        <w:rPr>
          <w:rFonts w:ascii="Times New Roman" w:eastAsia="Times New Roman" w:hAnsi="Times New Roman" w:cs="Times New Roman"/>
        </w:rPr>
      </w:pPr>
      <w:r>
        <w:rPr>
          <w:rFonts w:ascii="Times New Roman" w:eastAsia="Times New Roman" w:hAnsi="Times New Roman" w:cs="Times New Roman"/>
          <w:noProof/>
        </w:rPr>
      </w:r>
      <w:r w:rsidR="00EB61EF">
        <w:rPr>
          <w:rFonts w:ascii="Times New Roman" w:eastAsia="Times New Roman" w:hAnsi="Times New Roman" w:cs="Times New Roman"/>
          <w:noProof/>
        </w:rPr>
        <w:pict w14:anchorId="4760A643">
          <v:rect id="_x0000_i1025" alt="" style="width:269.1pt;height:.05pt;mso-width-percent:0;mso-height-percent:0;mso-width-percent:0;mso-height-percent:0" o:hrpct="575" o:hralign="center" o:hrstd="t" o:hr="t" fillcolor="#a0a0a0" stroked="f"/>
        </w:pict>
      </w:r>
    </w:p>
    <w:p w14:paraId="64B04852" w14:textId="77777777" w:rsidR="00C034F0" w:rsidRDefault="00C034F0" w:rsidP="00C034F0">
      <w:pPr>
        <w:spacing w:before="100" w:beforeAutospacing="1" w:after="100" w:afterAutospacing="1"/>
        <w:outlineLvl w:val="2"/>
        <w:rPr>
          <w:rFonts w:ascii="Times New Roman" w:eastAsia="Times New Roman" w:hAnsi="Times New Roman" w:cs="Times New Roman"/>
          <w:b/>
          <w:bCs/>
          <w:sz w:val="27"/>
          <w:szCs w:val="27"/>
        </w:rPr>
      </w:pPr>
      <w:r w:rsidRPr="00181AE4">
        <w:rPr>
          <w:rFonts w:ascii="Times New Roman" w:eastAsia="Times New Roman" w:hAnsi="Times New Roman" w:cs="Times New Roman"/>
          <w:b/>
          <w:bCs/>
          <w:sz w:val="27"/>
          <w:szCs w:val="27"/>
        </w:rPr>
        <w:t xml:space="preserve">Decolonizing Frameworks </w:t>
      </w:r>
    </w:p>
    <w:p w14:paraId="59D35BE3" w14:textId="74587ABA" w:rsidR="00C034F0" w:rsidRPr="00181AE4" w:rsidRDefault="00C034F0" w:rsidP="00C034F0">
      <w:pPr>
        <w:spacing w:before="100" w:beforeAutospacing="1" w:after="100" w:afterAutospacing="1"/>
        <w:jc w:val="both"/>
        <w:rPr>
          <w:rFonts w:ascii="Times New Roman" w:eastAsia="Times New Roman" w:hAnsi="Times New Roman" w:cs="Times New Roman"/>
        </w:rPr>
      </w:pPr>
      <w:r>
        <w:rPr>
          <w:rFonts w:ascii="Times New Roman" w:eastAsia="Times New Roman" w:hAnsi="Times New Roman" w:cs="Times New Roman"/>
        </w:rPr>
        <w:t>The seminar</w:t>
      </w:r>
      <w:r w:rsidRPr="00181AE4">
        <w:rPr>
          <w:rFonts w:ascii="Times New Roman" w:eastAsia="Times New Roman" w:hAnsi="Times New Roman" w:cs="Times New Roman"/>
        </w:rPr>
        <w:t xml:space="preserve"> makes a substantial and necessary contribution to Adivasi studies by challenging the epistemological foundations and linguistic frameworks traditionally used by academic scholarship. It pivots the focus from merely documenting Adivasi history to scrutinizing the </w:t>
      </w:r>
      <w:r w:rsidRPr="00181AE4">
        <w:rPr>
          <w:rFonts w:ascii="Times New Roman" w:eastAsia="Times New Roman" w:hAnsi="Times New Roman" w:cs="Times New Roman"/>
          <w:i/>
          <w:iCs/>
        </w:rPr>
        <w:t>method</w:t>
      </w:r>
      <w:r w:rsidRPr="00181AE4">
        <w:rPr>
          <w:rFonts w:ascii="Times New Roman" w:eastAsia="Times New Roman" w:hAnsi="Times New Roman" w:cs="Times New Roman"/>
        </w:rPr>
        <w:t xml:space="preserve"> of documentation itself, offering three critical interventions:</w:t>
      </w:r>
    </w:p>
    <w:p w14:paraId="1C78F519" w14:textId="77777777" w:rsidR="00C034F0" w:rsidRPr="00181AE4" w:rsidRDefault="00C034F0" w:rsidP="00C034F0">
      <w:pPr>
        <w:spacing w:before="100" w:beforeAutospacing="1" w:after="100" w:afterAutospacing="1"/>
        <w:outlineLvl w:val="2"/>
        <w:rPr>
          <w:rFonts w:ascii="Times New Roman" w:eastAsia="Times New Roman" w:hAnsi="Times New Roman" w:cs="Times New Roman"/>
          <w:b/>
          <w:bCs/>
          <w:sz w:val="27"/>
          <w:szCs w:val="27"/>
        </w:rPr>
      </w:pPr>
      <w:r w:rsidRPr="00181AE4">
        <w:rPr>
          <w:rFonts w:ascii="Times New Roman" w:eastAsia="Times New Roman" w:hAnsi="Times New Roman" w:cs="Times New Roman"/>
          <w:b/>
          <w:bCs/>
          <w:sz w:val="27"/>
          <w:szCs w:val="27"/>
        </w:rPr>
        <w:t>1. Challenging Colonial and Postcolonial Models</w:t>
      </w:r>
    </w:p>
    <w:p w14:paraId="675F8D8E" w14:textId="11EBA335" w:rsidR="00C034F0" w:rsidRPr="00181AE4" w:rsidRDefault="00C034F0" w:rsidP="00C034F0">
      <w:pPr>
        <w:spacing w:before="100" w:beforeAutospacing="1" w:after="100" w:afterAutospacing="1"/>
        <w:jc w:val="both"/>
        <w:rPr>
          <w:rFonts w:ascii="Times New Roman" w:eastAsia="Times New Roman" w:hAnsi="Times New Roman" w:cs="Times New Roman"/>
        </w:rPr>
      </w:pPr>
      <w:r w:rsidRPr="00181AE4">
        <w:rPr>
          <w:rFonts w:ascii="Times New Roman" w:eastAsia="Times New Roman" w:hAnsi="Times New Roman" w:cs="Times New Roman"/>
        </w:rPr>
        <w:t xml:space="preserve">The core intervention is the rejection of the </w:t>
      </w:r>
      <w:r>
        <w:rPr>
          <w:rFonts w:ascii="Times New Roman" w:eastAsia="Times New Roman" w:hAnsi="Times New Roman" w:cs="Times New Roman"/>
        </w:rPr>
        <w:t>“</w:t>
      </w:r>
      <w:r w:rsidRPr="00181AE4">
        <w:rPr>
          <w:rFonts w:ascii="Times New Roman" w:eastAsia="Times New Roman" w:hAnsi="Times New Roman" w:cs="Times New Roman"/>
        </w:rPr>
        <w:t>uncritical application of colonial and postcolonial models.</w:t>
      </w:r>
      <w:r>
        <w:rPr>
          <w:rFonts w:ascii="Times New Roman" w:eastAsia="Times New Roman" w:hAnsi="Times New Roman" w:cs="Times New Roman"/>
        </w:rPr>
        <w:t>”</w:t>
      </w:r>
      <w:r w:rsidRPr="00181AE4">
        <w:rPr>
          <w:rFonts w:ascii="Times New Roman" w:eastAsia="Times New Roman" w:hAnsi="Times New Roman" w:cs="Times New Roman"/>
        </w:rPr>
        <w:t xml:space="preserve"> In the context of Adivasi studies, this translates to moving beyond frameworks that either pathologize Adivasi uprisings as irrational, isolated </w:t>
      </w:r>
      <w:r>
        <w:rPr>
          <w:rFonts w:ascii="Times New Roman" w:eastAsia="Times New Roman" w:hAnsi="Times New Roman" w:cs="Times New Roman"/>
        </w:rPr>
        <w:t>“</w:t>
      </w:r>
      <w:r w:rsidRPr="00181AE4">
        <w:rPr>
          <w:rFonts w:ascii="Times New Roman" w:eastAsia="Times New Roman" w:hAnsi="Times New Roman" w:cs="Times New Roman"/>
        </w:rPr>
        <w:t>tribal</w:t>
      </w:r>
      <w:r>
        <w:rPr>
          <w:rFonts w:ascii="Times New Roman" w:eastAsia="Times New Roman" w:hAnsi="Times New Roman" w:cs="Times New Roman"/>
        </w:rPr>
        <w:t>”</w:t>
      </w:r>
      <w:r w:rsidRPr="00181AE4">
        <w:rPr>
          <w:rFonts w:ascii="Times New Roman" w:eastAsia="Times New Roman" w:hAnsi="Times New Roman" w:cs="Times New Roman"/>
        </w:rPr>
        <w:t xml:space="preserve"> affairs (the colonial view) or attempt to fit them into broad, dominant-culture nationalist narratives (a common postcolonial tendency). The excerpt demands that scholars develop </w:t>
      </w:r>
      <w:r w:rsidRPr="00181AE4">
        <w:rPr>
          <w:rFonts w:ascii="Times New Roman" w:eastAsia="Times New Roman" w:hAnsi="Times New Roman" w:cs="Times New Roman"/>
          <w:b/>
          <w:bCs/>
        </w:rPr>
        <w:t>culturally sensitive and context-specific analytical tools</w:t>
      </w:r>
      <w:r w:rsidRPr="00181AE4">
        <w:rPr>
          <w:rFonts w:ascii="Times New Roman" w:eastAsia="Times New Roman" w:hAnsi="Times New Roman" w:cs="Times New Roman"/>
        </w:rPr>
        <w:t xml:space="preserve"> that respect Adivasi worldviews as independent epistemic systems.</w:t>
      </w:r>
    </w:p>
    <w:p w14:paraId="57C679BE" w14:textId="77777777" w:rsidR="00C034F0" w:rsidRPr="00181AE4" w:rsidRDefault="00C034F0" w:rsidP="00C034F0">
      <w:pPr>
        <w:spacing w:before="100" w:beforeAutospacing="1" w:after="100" w:afterAutospacing="1"/>
        <w:outlineLvl w:val="2"/>
        <w:rPr>
          <w:rFonts w:ascii="Times New Roman" w:eastAsia="Times New Roman" w:hAnsi="Times New Roman" w:cs="Times New Roman"/>
          <w:b/>
          <w:bCs/>
          <w:sz w:val="27"/>
          <w:szCs w:val="27"/>
        </w:rPr>
      </w:pPr>
      <w:r w:rsidRPr="00181AE4">
        <w:rPr>
          <w:rFonts w:ascii="Times New Roman" w:eastAsia="Times New Roman" w:hAnsi="Times New Roman" w:cs="Times New Roman"/>
          <w:b/>
          <w:bCs/>
          <w:sz w:val="27"/>
          <w:szCs w:val="27"/>
        </w:rPr>
        <w:t>2. Redefining Decolonization</w:t>
      </w:r>
      <w:r>
        <w:rPr>
          <w:rFonts w:ascii="Times New Roman" w:eastAsia="Times New Roman" w:hAnsi="Times New Roman" w:cs="Times New Roman"/>
          <w:b/>
          <w:bCs/>
          <w:sz w:val="27"/>
          <w:szCs w:val="27"/>
        </w:rPr>
        <w:t xml:space="preserve"> and the Adivasi ‘Self’</w:t>
      </w:r>
    </w:p>
    <w:p w14:paraId="74396335" w14:textId="7684DCEF" w:rsidR="00C034F0" w:rsidRPr="00181AE4" w:rsidRDefault="00C034F0" w:rsidP="00C034F0">
      <w:pPr>
        <w:spacing w:before="100" w:beforeAutospacing="1" w:after="100" w:afterAutospacing="1"/>
        <w:jc w:val="both"/>
        <w:rPr>
          <w:rFonts w:ascii="Times New Roman" w:eastAsia="Times New Roman" w:hAnsi="Times New Roman" w:cs="Times New Roman"/>
        </w:rPr>
      </w:pPr>
      <w:r w:rsidRPr="00181AE4">
        <w:rPr>
          <w:rFonts w:ascii="Times New Roman" w:eastAsia="Times New Roman" w:hAnsi="Times New Roman" w:cs="Times New Roman"/>
          <w:b/>
          <w:bCs/>
        </w:rPr>
        <w:t>Relevance to Birsa Munda:</w:t>
      </w:r>
      <w:r w:rsidRPr="00181AE4">
        <w:rPr>
          <w:rFonts w:ascii="Times New Roman" w:eastAsia="Times New Roman" w:hAnsi="Times New Roman" w:cs="Times New Roman"/>
        </w:rPr>
        <w:t xml:space="preserve"> Birsa Munda's </w:t>
      </w:r>
      <w:proofErr w:type="spellStart"/>
      <w:r w:rsidRPr="00181AE4">
        <w:rPr>
          <w:rFonts w:ascii="Times New Roman" w:eastAsia="Times New Roman" w:hAnsi="Times New Roman" w:cs="Times New Roman"/>
          <w:i/>
          <w:iCs/>
        </w:rPr>
        <w:t>Ulgulan</w:t>
      </w:r>
      <w:proofErr w:type="spellEnd"/>
      <w:r w:rsidRPr="00181AE4">
        <w:rPr>
          <w:rFonts w:ascii="Times New Roman" w:eastAsia="Times New Roman" w:hAnsi="Times New Roman" w:cs="Times New Roman"/>
        </w:rPr>
        <w:t xml:space="preserve"> (Great Tumult) was syncretic; </w:t>
      </w:r>
      <w:r>
        <w:rPr>
          <w:rFonts w:ascii="Times New Roman" w:eastAsia="Times New Roman" w:hAnsi="Times New Roman" w:cs="Times New Roman"/>
        </w:rPr>
        <w:t>‘</w:t>
      </w:r>
      <w:r w:rsidRPr="00181AE4">
        <w:rPr>
          <w:rFonts w:ascii="Times New Roman" w:eastAsia="Times New Roman" w:hAnsi="Times New Roman" w:cs="Times New Roman"/>
        </w:rPr>
        <w:t>Birsa</w:t>
      </w:r>
      <w:r>
        <w:rPr>
          <w:rFonts w:ascii="Times New Roman" w:eastAsia="Times New Roman" w:hAnsi="Times New Roman" w:cs="Times New Roman"/>
        </w:rPr>
        <w:t>-</w:t>
      </w:r>
      <w:proofErr w:type="spellStart"/>
      <w:r w:rsidRPr="00181AE4">
        <w:rPr>
          <w:rFonts w:ascii="Times New Roman" w:eastAsia="Times New Roman" w:hAnsi="Times New Roman" w:cs="Times New Roman"/>
        </w:rPr>
        <w:t>it</w:t>
      </w:r>
      <w:r>
        <w:rPr>
          <w:rFonts w:ascii="Times New Roman" w:eastAsia="Times New Roman" w:hAnsi="Times New Roman" w:cs="Times New Roman"/>
        </w:rPr>
        <w:t>e</w:t>
      </w:r>
      <w:proofErr w:type="spellEnd"/>
      <w:r>
        <w:rPr>
          <w:rFonts w:ascii="Times New Roman" w:eastAsia="Times New Roman" w:hAnsi="Times New Roman" w:cs="Times New Roman"/>
        </w:rPr>
        <w:t>’</w:t>
      </w:r>
      <w:r w:rsidRPr="00181AE4">
        <w:rPr>
          <w:rFonts w:ascii="Times New Roman" w:eastAsia="Times New Roman" w:hAnsi="Times New Roman" w:cs="Times New Roman"/>
        </w:rPr>
        <w:t xml:space="preserve"> faith combined Munda spiritualism with influences from Christianity and Vaishnavism. This blend makes it impossible for scholars to point to a single, </w:t>
      </w:r>
      <w:r>
        <w:rPr>
          <w:rFonts w:ascii="Times New Roman" w:eastAsia="Times New Roman" w:hAnsi="Times New Roman" w:cs="Times New Roman"/>
        </w:rPr>
        <w:t>‘</w:t>
      </w:r>
      <w:r w:rsidRPr="00181AE4">
        <w:rPr>
          <w:rFonts w:ascii="Times New Roman" w:eastAsia="Times New Roman" w:hAnsi="Times New Roman" w:cs="Times New Roman"/>
        </w:rPr>
        <w:t>pure</w:t>
      </w:r>
      <w:r>
        <w:rPr>
          <w:rFonts w:ascii="Times New Roman" w:eastAsia="Times New Roman" w:hAnsi="Times New Roman" w:cs="Times New Roman"/>
        </w:rPr>
        <w:t xml:space="preserve">’ </w:t>
      </w:r>
      <w:r w:rsidRPr="00181AE4">
        <w:rPr>
          <w:rFonts w:ascii="Times New Roman" w:eastAsia="Times New Roman" w:hAnsi="Times New Roman" w:cs="Times New Roman"/>
        </w:rPr>
        <w:t xml:space="preserve">pre-colonial Munda identity. The metaphor compels researchers of Birsa Munda to acknowledge that his greatness lies not in a perfect return to tradition, but in the </w:t>
      </w:r>
      <w:r w:rsidRPr="00181AE4">
        <w:rPr>
          <w:rFonts w:ascii="Times New Roman" w:eastAsia="Times New Roman" w:hAnsi="Times New Roman" w:cs="Times New Roman"/>
          <w:b/>
          <w:bCs/>
        </w:rPr>
        <w:t>creative synthesis</w:t>
      </w:r>
      <w:r w:rsidRPr="00181AE4">
        <w:rPr>
          <w:rFonts w:ascii="Times New Roman" w:eastAsia="Times New Roman" w:hAnsi="Times New Roman" w:cs="Times New Roman"/>
        </w:rPr>
        <w:t xml:space="preserve"> of traditions to forge a new, powerful, and politically effective Adivasi identity in the face of modernity and colonial oppression. Scholarship must, therefore, be less concerned with locating an </w:t>
      </w:r>
      <w:r>
        <w:rPr>
          <w:rFonts w:ascii="Times New Roman" w:eastAsia="Times New Roman" w:hAnsi="Times New Roman" w:cs="Times New Roman"/>
        </w:rPr>
        <w:t>‘</w:t>
      </w:r>
      <w:r w:rsidRPr="00181AE4">
        <w:rPr>
          <w:rFonts w:ascii="Times New Roman" w:eastAsia="Times New Roman" w:hAnsi="Times New Roman" w:cs="Times New Roman"/>
        </w:rPr>
        <w:t>authentic</w:t>
      </w:r>
      <w:r>
        <w:rPr>
          <w:rFonts w:ascii="Times New Roman" w:eastAsia="Times New Roman" w:hAnsi="Times New Roman" w:cs="Times New Roman"/>
        </w:rPr>
        <w:t>’</w:t>
      </w:r>
      <w:r w:rsidRPr="00181AE4">
        <w:rPr>
          <w:rFonts w:ascii="Times New Roman" w:eastAsia="Times New Roman" w:hAnsi="Times New Roman" w:cs="Times New Roman"/>
        </w:rPr>
        <w:t xml:space="preserve"> past and more with validating the lived, evolving self of the Adivasi community as a continuous matter of </w:t>
      </w:r>
      <w:r w:rsidRPr="00181AE4">
        <w:rPr>
          <w:rFonts w:ascii="Times New Roman" w:eastAsia="Times New Roman" w:hAnsi="Times New Roman" w:cs="Times New Roman"/>
          <w:b/>
          <w:bCs/>
        </w:rPr>
        <w:t>justice</w:t>
      </w:r>
      <w:r w:rsidRPr="00181AE4">
        <w:rPr>
          <w:rFonts w:ascii="Times New Roman" w:eastAsia="Times New Roman" w:hAnsi="Times New Roman" w:cs="Times New Roman"/>
        </w:rPr>
        <w:t>.</w:t>
      </w:r>
    </w:p>
    <w:p w14:paraId="589FEBC0" w14:textId="77777777" w:rsidR="00C034F0" w:rsidRPr="00181AE4" w:rsidRDefault="00C034F0" w:rsidP="00C034F0">
      <w:pPr>
        <w:spacing w:before="100" w:beforeAutospacing="1" w:after="100" w:afterAutospacing="1"/>
        <w:outlineLvl w:val="2"/>
        <w:rPr>
          <w:rFonts w:ascii="Times New Roman" w:eastAsia="Times New Roman" w:hAnsi="Times New Roman" w:cs="Times New Roman"/>
          <w:b/>
          <w:bCs/>
          <w:sz w:val="27"/>
          <w:szCs w:val="27"/>
        </w:rPr>
      </w:pPr>
      <w:r w:rsidRPr="00181AE4">
        <w:rPr>
          <w:rFonts w:ascii="Times New Roman" w:eastAsia="Times New Roman" w:hAnsi="Times New Roman" w:cs="Times New Roman"/>
          <w:b/>
          <w:bCs/>
          <w:sz w:val="27"/>
          <w:szCs w:val="27"/>
        </w:rPr>
        <w:t>3. Critique of Language: Rebellion vs. Resistance</w:t>
      </w:r>
    </w:p>
    <w:p w14:paraId="0A241C90" w14:textId="43769CEE" w:rsidR="00C034F0" w:rsidRPr="00181AE4" w:rsidRDefault="00C034F0" w:rsidP="00C034F0">
      <w:pPr>
        <w:spacing w:before="100" w:beforeAutospacing="1" w:after="100" w:afterAutospacing="1"/>
        <w:jc w:val="both"/>
        <w:rPr>
          <w:rFonts w:ascii="Times New Roman" w:eastAsia="Times New Roman" w:hAnsi="Times New Roman" w:cs="Times New Roman"/>
        </w:rPr>
      </w:pPr>
      <w:r w:rsidRPr="00181AE4">
        <w:rPr>
          <w:rFonts w:ascii="Times New Roman" w:eastAsia="Times New Roman" w:hAnsi="Times New Roman" w:cs="Times New Roman"/>
        </w:rPr>
        <w:t xml:space="preserve">The critique distinguishing between </w:t>
      </w:r>
      <w:r w:rsidR="00227916">
        <w:rPr>
          <w:rFonts w:ascii="Times New Roman" w:eastAsia="Times New Roman" w:hAnsi="Times New Roman" w:cs="Times New Roman"/>
        </w:rPr>
        <w:t>“</w:t>
      </w:r>
      <w:r w:rsidRPr="00181AE4">
        <w:rPr>
          <w:rFonts w:ascii="Times New Roman" w:eastAsia="Times New Roman" w:hAnsi="Times New Roman" w:cs="Times New Roman"/>
        </w:rPr>
        <w:t>rebellion</w:t>
      </w:r>
      <w:r w:rsidR="00227916">
        <w:rPr>
          <w:rFonts w:ascii="Times New Roman" w:eastAsia="Times New Roman" w:hAnsi="Times New Roman" w:cs="Times New Roman"/>
        </w:rPr>
        <w:t>”</w:t>
      </w:r>
      <w:r w:rsidRPr="00181AE4">
        <w:rPr>
          <w:rFonts w:ascii="Times New Roman" w:eastAsia="Times New Roman" w:hAnsi="Times New Roman" w:cs="Times New Roman"/>
        </w:rPr>
        <w:t xml:space="preserve"> (often applied to the East/Adivasi movements) and </w:t>
      </w:r>
      <w:r w:rsidR="00227916">
        <w:rPr>
          <w:rFonts w:ascii="Times New Roman" w:eastAsia="Times New Roman" w:hAnsi="Times New Roman" w:cs="Times New Roman"/>
        </w:rPr>
        <w:t>“</w:t>
      </w:r>
      <w:r w:rsidRPr="00181AE4">
        <w:rPr>
          <w:rFonts w:ascii="Times New Roman" w:eastAsia="Times New Roman" w:hAnsi="Times New Roman" w:cs="Times New Roman"/>
        </w:rPr>
        <w:t>resistance</w:t>
      </w:r>
      <w:r w:rsidR="00227916">
        <w:rPr>
          <w:rFonts w:ascii="Times New Roman" w:eastAsia="Times New Roman" w:hAnsi="Times New Roman" w:cs="Times New Roman"/>
        </w:rPr>
        <w:t>”</w:t>
      </w:r>
      <w:r w:rsidRPr="00181AE4">
        <w:rPr>
          <w:rFonts w:ascii="Times New Roman" w:eastAsia="Times New Roman" w:hAnsi="Times New Roman" w:cs="Times New Roman"/>
        </w:rPr>
        <w:t xml:space="preserve"> (often applied to the West) is a direct challenge to the </w:t>
      </w:r>
      <w:r w:rsidR="00227916">
        <w:rPr>
          <w:rFonts w:ascii="Times New Roman" w:eastAsia="Times New Roman" w:hAnsi="Times New Roman" w:cs="Times New Roman"/>
          <w:b/>
          <w:bCs/>
        </w:rPr>
        <w:t>“</w:t>
      </w:r>
      <w:r w:rsidRPr="00181AE4">
        <w:rPr>
          <w:rFonts w:ascii="Times New Roman" w:eastAsia="Times New Roman" w:hAnsi="Times New Roman" w:cs="Times New Roman"/>
          <w:b/>
          <w:bCs/>
        </w:rPr>
        <w:t>colonized consciousness</w:t>
      </w:r>
      <w:r w:rsidR="00227916">
        <w:rPr>
          <w:rFonts w:ascii="Times New Roman" w:eastAsia="Times New Roman" w:hAnsi="Times New Roman" w:cs="Times New Roman"/>
          <w:b/>
          <w:bCs/>
        </w:rPr>
        <w:t>”</w:t>
      </w:r>
      <w:r w:rsidRPr="00181AE4">
        <w:rPr>
          <w:rFonts w:ascii="Times New Roman" w:eastAsia="Times New Roman" w:hAnsi="Times New Roman" w:cs="Times New Roman"/>
        </w:rPr>
        <w:t xml:space="preserve"> persisting in academic vocabulary.</w:t>
      </w:r>
    </w:p>
    <w:p w14:paraId="266884CD" w14:textId="47389F42" w:rsidR="00C034F0" w:rsidRPr="00181AE4" w:rsidRDefault="00C034F0" w:rsidP="00C034F0">
      <w:pPr>
        <w:numPr>
          <w:ilvl w:val="0"/>
          <w:numId w:val="24"/>
        </w:numPr>
        <w:spacing w:before="100" w:beforeAutospacing="1" w:after="100" w:afterAutospacing="1"/>
        <w:jc w:val="both"/>
        <w:rPr>
          <w:rFonts w:ascii="Times New Roman" w:eastAsia="Times New Roman" w:hAnsi="Times New Roman" w:cs="Times New Roman"/>
        </w:rPr>
      </w:pPr>
      <w:r w:rsidRPr="00181AE4">
        <w:rPr>
          <w:rFonts w:ascii="Times New Roman" w:eastAsia="Times New Roman" w:hAnsi="Times New Roman" w:cs="Times New Roman"/>
          <w:b/>
          <w:bCs/>
        </w:rPr>
        <w:t>Elevating Birsa</w:t>
      </w:r>
      <w:r w:rsidR="00227916">
        <w:rPr>
          <w:rFonts w:ascii="Times New Roman" w:eastAsia="Times New Roman" w:hAnsi="Times New Roman" w:cs="Times New Roman"/>
          <w:b/>
          <w:bCs/>
        </w:rPr>
        <w:t>’</w:t>
      </w:r>
      <w:r w:rsidRPr="00181AE4">
        <w:rPr>
          <w:rFonts w:ascii="Times New Roman" w:eastAsia="Times New Roman" w:hAnsi="Times New Roman" w:cs="Times New Roman"/>
          <w:b/>
          <w:bCs/>
        </w:rPr>
        <w:t>s Struggle:</w:t>
      </w:r>
      <w:r w:rsidRPr="00181AE4">
        <w:rPr>
          <w:rFonts w:ascii="Times New Roman" w:eastAsia="Times New Roman" w:hAnsi="Times New Roman" w:cs="Times New Roman"/>
        </w:rPr>
        <w:t xml:space="preserve"> By calling this geographical and linguistic bias into question, the </w:t>
      </w:r>
      <w:r w:rsidR="00227916">
        <w:rPr>
          <w:rFonts w:ascii="Times New Roman" w:eastAsia="Times New Roman" w:hAnsi="Times New Roman" w:cs="Times New Roman"/>
        </w:rPr>
        <w:t>seminar</w:t>
      </w:r>
      <w:r w:rsidRPr="00181AE4">
        <w:rPr>
          <w:rFonts w:ascii="Times New Roman" w:eastAsia="Times New Roman" w:hAnsi="Times New Roman" w:cs="Times New Roman"/>
        </w:rPr>
        <w:t xml:space="preserve"> forces scholars to elevate the description of the </w:t>
      </w:r>
      <w:proofErr w:type="spellStart"/>
      <w:r w:rsidRPr="00181AE4">
        <w:rPr>
          <w:rFonts w:ascii="Times New Roman" w:eastAsia="Times New Roman" w:hAnsi="Times New Roman" w:cs="Times New Roman"/>
          <w:i/>
          <w:iCs/>
        </w:rPr>
        <w:t>Ulgulan</w:t>
      </w:r>
      <w:proofErr w:type="spellEnd"/>
      <w:r w:rsidRPr="00181AE4">
        <w:rPr>
          <w:rFonts w:ascii="Times New Roman" w:eastAsia="Times New Roman" w:hAnsi="Times New Roman" w:cs="Times New Roman"/>
        </w:rPr>
        <w:t xml:space="preserve"> from a </w:t>
      </w:r>
      <w:r w:rsidRPr="00181AE4">
        <w:rPr>
          <w:rFonts w:ascii="Times New Roman" w:eastAsia="Times New Roman" w:hAnsi="Times New Roman" w:cs="Times New Roman"/>
        </w:rPr>
        <w:lastRenderedPageBreak/>
        <w:t xml:space="preserve">mere </w:t>
      </w:r>
      <w:r w:rsidR="00227916">
        <w:rPr>
          <w:rFonts w:ascii="Times New Roman" w:eastAsia="Times New Roman" w:hAnsi="Times New Roman" w:cs="Times New Roman"/>
        </w:rPr>
        <w:t>“</w:t>
      </w:r>
      <w:r w:rsidRPr="00181AE4">
        <w:rPr>
          <w:rFonts w:ascii="Times New Roman" w:eastAsia="Times New Roman" w:hAnsi="Times New Roman" w:cs="Times New Roman"/>
        </w:rPr>
        <w:t>revolt</w:t>
      </w:r>
      <w:r w:rsidR="00227916">
        <w:rPr>
          <w:rFonts w:ascii="Times New Roman" w:eastAsia="Times New Roman" w:hAnsi="Times New Roman" w:cs="Times New Roman"/>
        </w:rPr>
        <w:t>”</w:t>
      </w:r>
      <w:r w:rsidRPr="00181AE4">
        <w:rPr>
          <w:rFonts w:ascii="Times New Roman" w:eastAsia="Times New Roman" w:hAnsi="Times New Roman" w:cs="Times New Roman"/>
        </w:rPr>
        <w:t xml:space="preserve"> or </w:t>
      </w:r>
      <w:r w:rsidR="00227916">
        <w:rPr>
          <w:rFonts w:ascii="Times New Roman" w:eastAsia="Times New Roman" w:hAnsi="Times New Roman" w:cs="Times New Roman"/>
        </w:rPr>
        <w:t>“</w:t>
      </w:r>
      <w:r w:rsidRPr="00181AE4">
        <w:rPr>
          <w:rFonts w:ascii="Times New Roman" w:eastAsia="Times New Roman" w:hAnsi="Times New Roman" w:cs="Times New Roman"/>
        </w:rPr>
        <w:t>rebellion</w:t>
      </w:r>
      <w:r w:rsidR="00227916">
        <w:rPr>
          <w:rFonts w:ascii="Times New Roman" w:eastAsia="Times New Roman" w:hAnsi="Times New Roman" w:cs="Times New Roman"/>
        </w:rPr>
        <w:t>”</w:t>
      </w:r>
      <w:r w:rsidRPr="00181AE4">
        <w:rPr>
          <w:rFonts w:ascii="Times New Roman" w:eastAsia="Times New Roman" w:hAnsi="Times New Roman" w:cs="Times New Roman"/>
        </w:rPr>
        <w:t xml:space="preserve"> (implying a disruptive, irrational outburst) to an ideological and legitimate act of </w:t>
      </w:r>
      <w:r w:rsidRPr="00181AE4">
        <w:rPr>
          <w:rFonts w:ascii="Times New Roman" w:eastAsia="Times New Roman" w:hAnsi="Times New Roman" w:cs="Times New Roman"/>
          <w:b/>
          <w:bCs/>
        </w:rPr>
        <w:t>resistance</w:t>
      </w:r>
      <w:r w:rsidRPr="00181AE4">
        <w:rPr>
          <w:rFonts w:ascii="Times New Roman" w:eastAsia="Times New Roman" w:hAnsi="Times New Roman" w:cs="Times New Roman"/>
        </w:rPr>
        <w:t>. This shift in terminology is not academic jargon; it is essential for historical recognition. It reframes Birsa Munda from a figure of local, primitive dissent to a major figure of anti-colonial resistance and indigenous political thought, ensuring his rightful place in national and international histories of subaltern struggle.</w:t>
      </w:r>
    </w:p>
    <w:p w14:paraId="12BB60B3" w14:textId="77777777" w:rsidR="00C034F0" w:rsidRPr="00181AE4" w:rsidRDefault="00C034F0" w:rsidP="00C034F0">
      <w:pPr>
        <w:spacing w:before="100" w:beforeAutospacing="1" w:after="100" w:afterAutospacing="1"/>
        <w:jc w:val="both"/>
        <w:rPr>
          <w:rFonts w:ascii="Times New Roman" w:eastAsia="Times New Roman" w:hAnsi="Times New Roman" w:cs="Times New Roman"/>
        </w:rPr>
      </w:pPr>
      <w:r w:rsidRPr="00181AE4">
        <w:rPr>
          <w:rFonts w:ascii="Times New Roman" w:eastAsia="Times New Roman" w:hAnsi="Times New Roman" w:cs="Times New Roman"/>
        </w:rPr>
        <w:t xml:space="preserve">In summary, </w:t>
      </w:r>
      <w:r>
        <w:rPr>
          <w:rFonts w:ascii="Times New Roman" w:eastAsia="Times New Roman" w:hAnsi="Times New Roman" w:cs="Times New Roman"/>
        </w:rPr>
        <w:t>it</w:t>
      </w:r>
      <w:r w:rsidRPr="00181AE4">
        <w:rPr>
          <w:rFonts w:ascii="Times New Roman" w:eastAsia="Times New Roman" w:hAnsi="Times New Roman" w:cs="Times New Roman"/>
        </w:rPr>
        <w:t xml:space="preserve"> serves as a methodological manifesto, calling for scholarship that is self-reflexive, ethically grounded, and committed to validating the Adivasi experience on its own complex terms, rather than subjecting it to borrowed, flawed analytical frameworks.</w:t>
      </w:r>
    </w:p>
    <w:p w14:paraId="39797DA8" w14:textId="77777777" w:rsidR="00C034F0" w:rsidRPr="00181AE4" w:rsidRDefault="00EB61EF" w:rsidP="00C034F0">
      <w:pPr>
        <w:rPr>
          <w:rFonts w:ascii="Times New Roman" w:eastAsia="Times New Roman" w:hAnsi="Times New Roman" w:cs="Times New Roman"/>
        </w:rPr>
      </w:pPr>
      <w:r>
        <w:rPr>
          <w:rFonts w:ascii="Times New Roman" w:eastAsia="Times New Roman" w:hAnsi="Times New Roman" w:cs="Times New Roman"/>
          <w:noProof/>
        </w:rPr>
      </w:r>
      <w:r w:rsidR="00EB61EF">
        <w:rPr>
          <w:rFonts w:ascii="Times New Roman" w:eastAsia="Times New Roman" w:hAnsi="Times New Roman" w:cs="Times New Roman"/>
          <w:noProof/>
        </w:rPr>
        <w:pict w14:anchorId="2C5578E6">
          <v:rect id="_x0000_i1026" alt="" style="width:269.1pt;height:.05pt;mso-width-percent:0;mso-height-percent:0;mso-width-percent:0;mso-height-percent:0" o:hrpct="575" o:hralign="center" o:hrstd="t" o:hr="t" fillcolor="#a0a0a0" stroked="f"/>
        </w:pict>
      </w:r>
    </w:p>
    <w:p w14:paraId="04D66C94" w14:textId="77777777" w:rsidR="00C034F0" w:rsidRPr="00181AE4" w:rsidRDefault="00C034F0" w:rsidP="00C034F0">
      <w:pPr>
        <w:spacing w:before="100" w:beforeAutospacing="1" w:after="100" w:afterAutospacing="1"/>
        <w:outlineLvl w:val="2"/>
        <w:rPr>
          <w:rFonts w:ascii="Times New Roman" w:eastAsia="Times New Roman" w:hAnsi="Times New Roman" w:cs="Times New Roman"/>
          <w:b/>
          <w:bCs/>
          <w:sz w:val="27"/>
          <w:szCs w:val="27"/>
        </w:rPr>
      </w:pPr>
      <w:r w:rsidRPr="00181AE4">
        <w:rPr>
          <w:rFonts w:ascii="Times New Roman" w:eastAsia="Times New Roman" w:hAnsi="Times New Roman" w:cs="Times New Roman"/>
          <w:b/>
          <w:bCs/>
          <w:sz w:val="27"/>
          <w:szCs w:val="27"/>
        </w:rPr>
        <w:t xml:space="preserve">Linguistic and Cultural Preservation </w:t>
      </w:r>
    </w:p>
    <w:p w14:paraId="31101560" w14:textId="33A20206" w:rsidR="00C034F0" w:rsidRPr="00181AE4" w:rsidRDefault="00C034F0" w:rsidP="00C034F0">
      <w:pPr>
        <w:spacing w:before="100" w:beforeAutospacing="1" w:after="100" w:afterAutospacing="1"/>
        <w:jc w:val="both"/>
        <w:rPr>
          <w:rFonts w:ascii="Times New Roman" w:eastAsia="Times New Roman" w:hAnsi="Times New Roman" w:cs="Times New Roman"/>
        </w:rPr>
      </w:pPr>
      <w:r w:rsidRPr="00181AE4">
        <w:rPr>
          <w:rFonts w:ascii="Times New Roman" w:eastAsia="Times New Roman" w:hAnsi="Times New Roman" w:cs="Times New Roman"/>
        </w:rPr>
        <w:t xml:space="preserve">The seminar underscores the critical role of language and oral traditions as repositories of knowledge and resistance. </w:t>
      </w:r>
      <w:r w:rsidR="00227916">
        <w:rPr>
          <w:rFonts w:ascii="Times New Roman" w:eastAsia="Times New Roman" w:hAnsi="Times New Roman" w:cs="Times New Roman"/>
        </w:rPr>
        <w:t>L</w:t>
      </w:r>
      <w:r w:rsidRPr="00181AE4">
        <w:rPr>
          <w:rFonts w:ascii="Times New Roman" w:eastAsia="Times New Roman" w:hAnsi="Times New Roman" w:cs="Times New Roman"/>
        </w:rPr>
        <w:t xml:space="preserve">anguage is more than a tool of communication, </w:t>
      </w:r>
      <w:r w:rsidR="00227916">
        <w:rPr>
          <w:rFonts w:ascii="Times New Roman" w:eastAsia="Times New Roman" w:hAnsi="Times New Roman" w:cs="Times New Roman"/>
        </w:rPr>
        <w:t>it is</w:t>
      </w:r>
      <w:r w:rsidRPr="00181AE4">
        <w:rPr>
          <w:rFonts w:ascii="Times New Roman" w:eastAsia="Times New Roman" w:hAnsi="Times New Roman" w:cs="Times New Roman"/>
        </w:rPr>
        <w:t xml:space="preserve"> rather a </w:t>
      </w:r>
      <w:r w:rsidRPr="00181AE4">
        <w:rPr>
          <w:rFonts w:ascii="Times New Roman" w:eastAsia="Times New Roman" w:hAnsi="Times New Roman" w:cs="Times New Roman"/>
          <w:b/>
          <w:bCs/>
        </w:rPr>
        <w:t>“cultural repository”</w:t>
      </w:r>
      <w:r w:rsidRPr="00181AE4">
        <w:rPr>
          <w:rFonts w:ascii="Times New Roman" w:eastAsia="Times New Roman" w:hAnsi="Times New Roman" w:cs="Times New Roman"/>
        </w:rPr>
        <w:t xml:space="preserve"> holding entire value systems, aligns with a growing body of work in linguistic anthropology and ethnography. Prof. G.N. Devy's historical account of the 1891 census and its erasure of tribal linguistic identities provides a concrete example of how colonization operates through </w:t>
      </w:r>
      <w:r w:rsidRPr="00181AE4">
        <w:rPr>
          <w:rFonts w:ascii="Times New Roman" w:eastAsia="Times New Roman" w:hAnsi="Times New Roman" w:cs="Times New Roman"/>
          <w:b/>
          <w:bCs/>
        </w:rPr>
        <w:t>systematized control</w:t>
      </w:r>
      <w:r w:rsidRPr="00181AE4">
        <w:rPr>
          <w:rFonts w:ascii="Times New Roman" w:eastAsia="Times New Roman" w:hAnsi="Times New Roman" w:cs="Times New Roman"/>
        </w:rPr>
        <w:t xml:space="preserve"> and categorization. He highlights that despite this, tribal communities maintain a rich linguistic diversity of over </w:t>
      </w:r>
      <w:r w:rsidRPr="00181AE4">
        <w:rPr>
          <w:rFonts w:ascii="Times New Roman" w:eastAsia="Times New Roman" w:hAnsi="Times New Roman" w:cs="Times New Roman"/>
          <w:b/>
          <w:bCs/>
        </w:rPr>
        <w:t>560 languages</w:t>
      </w:r>
      <w:r w:rsidRPr="00181AE4">
        <w:rPr>
          <w:rFonts w:ascii="Times New Roman" w:eastAsia="Times New Roman" w:hAnsi="Times New Roman" w:cs="Times New Roman"/>
        </w:rPr>
        <w:t>. This emphasis on linguistic survival in the face of colonial and post-colonial erasures enriches the understanding of Adivasi resilience and suggests new avenues for research into ethnolinguistics and the politics of documentation.</w:t>
      </w:r>
    </w:p>
    <w:p w14:paraId="5110D2C6" w14:textId="77777777" w:rsidR="00C034F0" w:rsidRPr="00181AE4" w:rsidRDefault="00EB61EF" w:rsidP="00C034F0">
      <w:pPr>
        <w:rPr>
          <w:rFonts w:ascii="Times New Roman" w:eastAsia="Times New Roman" w:hAnsi="Times New Roman" w:cs="Times New Roman"/>
        </w:rPr>
      </w:pPr>
      <w:r>
        <w:rPr>
          <w:rFonts w:ascii="Times New Roman" w:eastAsia="Times New Roman" w:hAnsi="Times New Roman" w:cs="Times New Roman"/>
          <w:noProof/>
        </w:rPr>
      </w:r>
      <w:r w:rsidR="00EB61EF">
        <w:rPr>
          <w:rFonts w:ascii="Times New Roman" w:eastAsia="Times New Roman" w:hAnsi="Times New Roman" w:cs="Times New Roman"/>
          <w:noProof/>
        </w:rPr>
        <w:pict w14:anchorId="0058BAFC">
          <v:rect id="_x0000_i1027" alt="" style="width:269.1pt;height:.05pt;mso-width-percent:0;mso-height-percent:0;mso-width-percent:0;mso-height-percent:0" o:hrpct="575" o:hralign="center" o:hrstd="t" o:hr="t" fillcolor="#a0a0a0" stroked="f"/>
        </w:pict>
      </w:r>
    </w:p>
    <w:p w14:paraId="0D72DA0A" w14:textId="77777777" w:rsidR="00C034F0" w:rsidRPr="00181AE4" w:rsidRDefault="00C034F0" w:rsidP="00C034F0">
      <w:pPr>
        <w:spacing w:before="100" w:beforeAutospacing="1" w:after="100" w:afterAutospacing="1"/>
        <w:outlineLvl w:val="2"/>
        <w:rPr>
          <w:rFonts w:ascii="Times New Roman" w:eastAsia="Times New Roman" w:hAnsi="Times New Roman" w:cs="Times New Roman"/>
          <w:b/>
          <w:bCs/>
          <w:sz w:val="27"/>
          <w:szCs w:val="27"/>
        </w:rPr>
      </w:pPr>
      <w:r w:rsidRPr="00181AE4">
        <w:rPr>
          <w:rFonts w:ascii="Times New Roman" w:eastAsia="Times New Roman" w:hAnsi="Times New Roman" w:cs="Times New Roman"/>
          <w:b/>
          <w:bCs/>
          <w:sz w:val="27"/>
          <w:szCs w:val="27"/>
        </w:rPr>
        <w:t xml:space="preserve">Historical Re-evaluation and Subaltern Agency </w:t>
      </w:r>
    </w:p>
    <w:p w14:paraId="0A235886" w14:textId="2807C840" w:rsidR="00C034F0" w:rsidRPr="00181AE4" w:rsidRDefault="00C034F0" w:rsidP="00C034F0">
      <w:pPr>
        <w:spacing w:before="100" w:beforeAutospacing="1" w:after="100" w:afterAutospacing="1"/>
        <w:jc w:val="both"/>
        <w:rPr>
          <w:rFonts w:ascii="Times New Roman" w:eastAsia="Times New Roman" w:hAnsi="Times New Roman" w:cs="Times New Roman"/>
        </w:rPr>
      </w:pPr>
      <w:r w:rsidRPr="00181AE4">
        <w:rPr>
          <w:rFonts w:ascii="Times New Roman" w:eastAsia="Times New Roman" w:hAnsi="Times New Roman" w:cs="Times New Roman"/>
        </w:rPr>
        <w:t>The expert pan</w:t>
      </w:r>
      <w:r w:rsidR="00A06BAD">
        <w:rPr>
          <w:rFonts w:ascii="Times New Roman" w:eastAsia="Times New Roman" w:hAnsi="Times New Roman" w:cs="Times New Roman"/>
        </w:rPr>
        <w:t>els</w:t>
      </w:r>
      <w:r w:rsidRPr="00181AE4">
        <w:rPr>
          <w:rFonts w:ascii="Times New Roman" w:eastAsia="Times New Roman" w:hAnsi="Times New Roman" w:cs="Times New Roman"/>
        </w:rPr>
        <w:t xml:space="preserve"> collectively re-evaluates the historical narrative of Adivasi resistance. Prof. Joseph Bara</w:t>
      </w:r>
      <w:r w:rsidR="00A06BAD">
        <w:rPr>
          <w:rFonts w:ascii="Times New Roman" w:eastAsia="Times New Roman" w:hAnsi="Times New Roman" w:cs="Times New Roman"/>
        </w:rPr>
        <w:t>’</w:t>
      </w:r>
      <w:r w:rsidRPr="00181AE4">
        <w:rPr>
          <w:rFonts w:ascii="Times New Roman" w:eastAsia="Times New Roman" w:hAnsi="Times New Roman" w:cs="Times New Roman"/>
        </w:rPr>
        <w:t xml:space="preserve">s tracing of Adivasi protests as a </w:t>
      </w:r>
      <w:r w:rsidRPr="00181AE4">
        <w:rPr>
          <w:rFonts w:ascii="Times New Roman" w:eastAsia="Times New Roman" w:hAnsi="Times New Roman" w:cs="Times New Roman"/>
          <w:b/>
          <w:bCs/>
        </w:rPr>
        <w:t>“continuous thread of resistance”</w:t>
      </w:r>
      <w:r w:rsidRPr="00181AE4">
        <w:rPr>
          <w:rFonts w:ascii="Times New Roman" w:eastAsia="Times New Roman" w:hAnsi="Times New Roman" w:cs="Times New Roman"/>
        </w:rPr>
        <w:t xml:space="preserve"> challenges the dominant view of them as sporadic or isolated events. He provides crucial historical context, showing how Adivasi agency led to significant legislative changes, such as the </w:t>
      </w:r>
      <w:r w:rsidRPr="00181AE4">
        <w:rPr>
          <w:rFonts w:ascii="Times New Roman" w:eastAsia="Times New Roman" w:hAnsi="Times New Roman" w:cs="Times New Roman"/>
          <w:b/>
          <w:bCs/>
        </w:rPr>
        <w:t>1908 Act</w:t>
      </w:r>
      <w:r w:rsidRPr="00181AE4">
        <w:rPr>
          <w:rFonts w:ascii="Times New Roman" w:eastAsia="Times New Roman" w:hAnsi="Times New Roman" w:cs="Times New Roman"/>
        </w:rPr>
        <w:t xml:space="preserve">, and how Adivasi groups themselves, not mainstream nationalists, were the primary agents in reintroducing Birsa Munda into national discourse. Prof. Virginius </w:t>
      </w:r>
      <w:proofErr w:type="spellStart"/>
      <w:r w:rsidRPr="00181AE4">
        <w:rPr>
          <w:rFonts w:ascii="Times New Roman" w:eastAsia="Times New Roman" w:hAnsi="Times New Roman" w:cs="Times New Roman"/>
        </w:rPr>
        <w:t>Xaxa’s</w:t>
      </w:r>
      <w:proofErr w:type="spellEnd"/>
      <w:r w:rsidRPr="00181AE4">
        <w:rPr>
          <w:rFonts w:ascii="Times New Roman" w:eastAsia="Times New Roman" w:hAnsi="Times New Roman" w:cs="Times New Roman"/>
        </w:rPr>
        <w:t xml:space="preserve"> question about the </w:t>
      </w:r>
      <w:r w:rsidRPr="00181AE4">
        <w:rPr>
          <w:rFonts w:ascii="Times New Roman" w:eastAsia="Times New Roman" w:hAnsi="Times New Roman" w:cs="Times New Roman"/>
          <w:b/>
          <w:bCs/>
        </w:rPr>
        <w:t>selective focus</w:t>
      </w:r>
      <w:r w:rsidRPr="00181AE4">
        <w:rPr>
          <w:rFonts w:ascii="Times New Roman" w:eastAsia="Times New Roman" w:hAnsi="Times New Roman" w:cs="Times New Roman"/>
        </w:rPr>
        <w:t xml:space="preserve"> on Birsa Munda pushes the scholarly community to consider why some figures are remembered while others are forgotten. He unpacks the slogan “</w:t>
      </w:r>
      <w:proofErr w:type="spellStart"/>
      <w:r w:rsidRPr="00181AE4">
        <w:rPr>
          <w:rFonts w:ascii="Times New Roman" w:eastAsia="Times New Roman" w:hAnsi="Times New Roman" w:cs="Times New Roman"/>
        </w:rPr>
        <w:t>Abua</w:t>
      </w:r>
      <w:proofErr w:type="spellEnd"/>
      <w:r w:rsidRPr="00181AE4">
        <w:rPr>
          <w:rFonts w:ascii="Times New Roman" w:eastAsia="Times New Roman" w:hAnsi="Times New Roman" w:cs="Times New Roman"/>
        </w:rPr>
        <w:t xml:space="preserve"> </w:t>
      </w:r>
      <w:proofErr w:type="spellStart"/>
      <w:r w:rsidRPr="00181AE4">
        <w:rPr>
          <w:rFonts w:ascii="Times New Roman" w:eastAsia="Times New Roman" w:hAnsi="Times New Roman" w:cs="Times New Roman"/>
        </w:rPr>
        <w:t>Dishum</w:t>
      </w:r>
      <w:proofErr w:type="spellEnd"/>
      <w:r w:rsidRPr="00181AE4">
        <w:rPr>
          <w:rFonts w:ascii="Times New Roman" w:eastAsia="Times New Roman" w:hAnsi="Times New Roman" w:cs="Times New Roman"/>
        </w:rPr>
        <w:t xml:space="preserve">, </w:t>
      </w:r>
      <w:proofErr w:type="spellStart"/>
      <w:r w:rsidRPr="00181AE4">
        <w:rPr>
          <w:rFonts w:ascii="Times New Roman" w:eastAsia="Times New Roman" w:hAnsi="Times New Roman" w:cs="Times New Roman"/>
        </w:rPr>
        <w:t>Abua</w:t>
      </w:r>
      <w:proofErr w:type="spellEnd"/>
      <w:r w:rsidRPr="00181AE4">
        <w:rPr>
          <w:rFonts w:ascii="Times New Roman" w:eastAsia="Times New Roman" w:hAnsi="Times New Roman" w:cs="Times New Roman"/>
        </w:rPr>
        <w:t xml:space="preserve"> Raj,” revealing its dual meaning as resistance against both external colonial powers and internal collaborators. This reframing contributes to the subaltern studies field by highlighting that Adivasi struggles were not just anti-colonial but also anti-elite and class-based.</w:t>
      </w:r>
    </w:p>
    <w:p w14:paraId="0907CA93" w14:textId="77777777" w:rsidR="00C034F0" w:rsidRPr="00181AE4" w:rsidRDefault="00EB61EF" w:rsidP="00C034F0">
      <w:pPr>
        <w:rPr>
          <w:rFonts w:ascii="Times New Roman" w:eastAsia="Times New Roman" w:hAnsi="Times New Roman" w:cs="Times New Roman"/>
        </w:rPr>
      </w:pPr>
      <w:r>
        <w:rPr>
          <w:rFonts w:ascii="Times New Roman" w:eastAsia="Times New Roman" w:hAnsi="Times New Roman" w:cs="Times New Roman"/>
          <w:noProof/>
        </w:rPr>
      </w:r>
      <w:r w:rsidR="00EB61EF">
        <w:rPr>
          <w:rFonts w:ascii="Times New Roman" w:eastAsia="Times New Roman" w:hAnsi="Times New Roman" w:cs="Times New Roman"/>
          <w:noProof/>
        </w:rPr>
        <w:pict w14:anchorId="0D77DEFF">
          <v:rect id="_x0000_i1028" alt="" style="width:269.1pt;height:.05pt;mso-width-percent:0;mso-height-percent:0;mso-width-percent:0;mso-height-percent:0" o:hrpct="575" o:hralign="center" o:hrstd="t" o:hr="t" fillcolor="#a0a0a0" stroked="f"/>
        </w:pict>
      </w:r>
    </w:p>
    <w:p w14:paraId="0AF31E3B" w14:textId="77777777" w:rsidR="00C034F0" w:rsidRPr="00181AE4" w:rsidRDefault="00C034F0" w:rsidP="00C034F0">
      <w:pPr>
        <w:spacing w:before="100" w:beforeAutospacing="1" w:after="100" w:afterAutospacing="1"/>
        <w:outlineLvl w:val="2"/>
        <w:rPr>
          <w:rFonts w:ascii="Times New Roman" w:eastAsia="Times New Roman" w:hAnsi="Times New Roman" w:cs="Times New Roman"/>
          <w:b/>
          <w:bCs/>
          <w:sz w:val="27"/>
          <w:szCs w:val="27"/>
        </w:rPr>
      </w:pPr>
      <w:r w:rsidRPr="00181AE4">
        <w:rPr>
          <w:rFonts w:ascii="Times New Roman" w:eastAsia="Times New Roman" w:hAnsi="Times New Roman" w:cs="Times New Roman"/>
          <w:b/>
          <w:bCs/>
          <w:sz w:val="27"/>
          <w:szCs w:val="27"/>
        </w:rPr>
        <w:t xml:space="preserve">The Politics of Memory and Co-option </w:t>
      </w:r>
    </w:p>
    <w:p w14:paraId="2BDB7315" w14:textId="3B77D0B3" w:rsidR="00C034F0" w:rsidRPr="00181AE4" w:rsidRDefault="00C034F0" w:rsidP="00C034F0">
      <w:pPr>
        <w:spacing w:before="100" w:beforeAutospacing="1" w:after="100" w:afterAutospacing="1"/>
        <w:jc w:val="both"/>
        <w:rPr>
          <w:rFonts w:ascii="Times New Roman" w:eastAsia="Times New Roman" w:hAnsi="Times New Roman" w:cs="Times New Roman"/>
        </w:rPr>
      </w:pPr>
      <w:r w:rsidRPr="00181AE4">
        <w:rPr>
          <w:rFonts w:ascii="Times New Roman" w:eastAsia="Times New Roman" w:hAnsi="Times New Roman" w:cs="Times New Roman"/>
        </w:rPr>
        <w:t>Dr. Rahul Ranjan</w:t>
      </w:r>
      <w:r w:rsidR="00A06BAD">
        <w:rPr>
          <w:rFonts w:ascii="Times New Roman" w:eastAsia="Times New Roman" w:hAnsi="Times New Roman" w:cs="Times New Roman"/>
        </w:rPr>
        <w:t>’</w:t>
      </w:r>
      <w:r w:rsidRPr="00181AE4">
        <w:rPr>
          <w:rFonts w:ascii="Times New Roman" w:eastAsia="Times New Roman" w:hAnsi="Times New Roman" w:cs="Times New Roman"/>
        </w:rPr>
        <w:t xml:space="preserve">s analysis of the </w:t>
      </w:r>
      <w:r w:rsidRPr="00181AE4">
        <w:rPr>
          <w:rFonts w:ascii="Times New Roman" w:eastAsia="Times New Roman" w:hAnsi="Times New Roman" w:cs="Times New Roman"/>
          <w:b/>
          <w:bCs/>
        </w:rPr>
        <w:t>“politics of memory”</w:t>
      </w:r>
      <w:r w:rsidRPr="00181AE4">
        <w:rPr>
          <w:rFonts w:ascii="Times New Roman" w:eastAsia="Times New Roman" w:hAnsi="Times New Roman" w:cs="Times New Roman"/>
        </w:rPr>
        <w:t xml:space="preserve"> is a significant contribution. He articulates how historical figures like Birsa Munda are torn between </w:t>
      </w:r>
      <w:r w:rsidRPr="00181AE4">
        <w:rPr>
          <w:rFonts w:ascii="Times New Roman" w:eastAsia="Times New Roman" w:hAnsi="Times New Roman" w:cs="Times New Roman"/>
          <w:b/>
          <w:bCs/>
        </w:rPr>
        <w:t>“sincere memory and tactical co-option.”</w:t>
      </w:r>
      <w:r w:rsidRPr="00181AE4">
        <w:rPr>
          <w:rFonts w:ascii="Times New Roman" w:eastAsia="Times New Roman" w:hAnsi="Times New Roman" w:cs="Times New Roman"/>
        </w:rPr>
        <w:t xml:space="preserve"> By explaining how the state leverages Munda’s name for political gain while simultaneously taming his revolutionary message, Dr. Ranjan provides a framework for </w:t>
      </w:r>
      <w:r w:rsidRPr="00181AE4">
        <w:rPr>
          <w:rFonts w:ascii="Times New Roman" w:eastAsia="Times New Roman" w:hAnsi="Times New Roman" w:cs="Times New Roman"/>
        </w:rPr>
        <w:lastRenderedPageBreak/>
        <w:t xml:space="preserve">understanding the commodification of resistance. This shows how official celebration, through posters and speeches, can effectively neutralize a revolutionary figure, transforming him into a </w:t>
      </w:r>
      <w:r w:rsidRPr="00181AE4">
        <w:rPr>
          <w:rFonts w:ascii="Times New Roman" w:eastAsia="Times New Roman" w:hAnsi="Times New Roman" w:cs="Times New Roman"/>
          <w:b/>
          <w:bCs/>
        </w:rPr>
        <w:t>“safe symbol.”</w:t>
      </w:r>
      <w:r w:rsidRPr="00181AE4">
        <w:rPr>
          <w:rFonts w:ascii="Times New Roman" w:eastAsia="Times New Roman" w:hAnsi="Times New Roman" w:cs="Times New Roman"/>
        </w:rPr>
        <w:t xml:space="preserve"> This line of argument enriches the academic discourse on memory studies, state power, and the continued relevance of indigenous movements.</w:t>
      </w:r>
    </w:p>
    <w:p w14:paraId="025D4E3A" w14:textId="77777777" w:rsidR="00C034F0" w:rsidRDefault="00C034F0">
      <w:pPr>
        <w:spacing w:after="160" w:line="360" w:lineRule="auto"/>
        <w:jc w:val="both"/>
        <w:rPr>
          <w:rFonts w:ascii="Times New Roman" w:eastAsia="Times New Roman" w:hAnsi="Times New Roman" w:cs="Times New Roman"/>
          <w:sz w:val="20"/>
          <w:szCs w:val="20"/>
        </w:rPr>
      </w:pPr>
    </w:p>
    <w:p w14:paraId="21EF7C4A" w14:textId="2E5FEF20" w:rsidR="003934E1" w:rsidRPr="002513C6" w:rsidRDefault="00712B3F" w:rsidP="00712B3F">
      <w:pPr>
        <w:spacing w:before="280" w:after="280" w:line="360" w:lineRule="auto"/>
        <w:jc w:val="center"/>
        <w:rPr>
          <w:rFonts w:ascii="Times New Roman" w:eastAsia="Times New Roman" w:hAnsi="Times New Roman" w:cs="Times New Roman"/>
          <w:b/>
          <w:bCs/>
          <w:sz w:val="28"/>
          <w:szCs w:val="28"/>
          <w:u w:val="single"/>
        </w:rPr>
      </w:pPr>
      <w:r w:rsidRPr="002513C6">
        <w:rPr>
          <w:rFonts w:ascii="Times New Roman" w:eastAsia="Times New Roman" w:hAnsi="Times New Roman" w:cs="Times New Roman"/>
          <w:b/>
          <w:bCs/>
          <w:sz w:val="28"/>
          <w:szCs w:val="28"/>
          <w:u w:val="single"/>
        </w:rPr>
        <w:t>Glimpses from Day 2 of the National Seminar on Birsa Munda</w:t>
      </w:r>
      <w:r w:rsidR="000F3B28" w:rsidRPr="002513C6">
        <w:rPr>
          <w:rFonts w:ascii="Times New Roman" w:eastAsia="Times New Roman" w:hAnsi="Times New Roman" w:cs="Times New Roman"/>
          <w:b/>
          <w:bCs/>
          <w:sz w:val="28"/>
          <w:szCs w:val="28"/>
          <w:u w:val="single"/>
        </w:rPr>
        <w:t>, JMC</w:t>
      </w:r>
    </w:p>
    <w:p w14:paraId="3B4C9694" w14:textId="09EA76F4" w:rsidR="00712B3F" w:rsidRDefault="00712B3F" w:rsidP="00712B3F">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b/>
          <w:bCs/>
          <w:noProof/>
          <w:sz w:val="28"/>
          <w:szCs w:val="28"/>
        </w:rPr>
        <w:drawing>
          <wp:inline distT="0" distB="0" distL="0" distR="0" wp14:anchorId="2582B0F4" wp14:editId="5FD458E2">
            <wp:extent cx="3316758" cy="2211049"/>
            <wp:effectExtent l="0" t="0" r="0" b="0"/>
            <wp:docPr id="1055514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14575" name="Picture 1055514575"/>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353318" cy="2235421"/>
                    </a:xfrm>
                    <a:prstGeom prst="rect">
                      <a:avLst/>
                    </a:prstGeom>
                  </pic:spPr>
                </pic:pic>
              </a:graphicData>
            </a:graphic>
          </wp:inline>
        </w:drawing>
      </w:r>
      <w:r w:rsidR="000F3B28" w:rsidRPr="000F3B28">
        <w:rPr>
          <w:rFonts w:ascii="Times New Roman" w:eastAsia="Times New Roman" w:hAnsi="Times New Roman" w:cs="Times New Roman"/>
          <w:b/>
          <w:bCs/>
        </w:rPr>
        <w:t xml:space="preserve">Figure 9: </w:t>
      </w:r>
      <w:r w:rsidR="000F3B28" w:rsidRPr="000F3B28">
        <w:rPr>
          <w:rFonts w:ascii="Times New Roman" w:eastAsia="Times New Roman" w:hAnsi="Times New Roman" w:cs="Times New Roman"/>
        </w:rPr>
        <w:t xml:space="preserve">Expert </w:t>
      </w:r>
      <w:r w:rsidR="002513C6">
        <w:rPr>
          <w:rFonts w:ascii="Times New Roman" w:eastAsia="Times New Roman" w:hAnsi="Times New Roman" w:cs="Times New Roman"/>
        </w:rPr>
        <w:t>P</w:t>
      </w:r>
      <w:r w:rsidR="000F3B28" w:rsidRPr="000F3B28">
        <w:rPr>
          <w:rFonts w:ascii="Times New Roman" w:eastAsia="Times New Roman" w:hAnsi="Times New Roman" w:cs="Times New Roman"/>
        </w:rPr>
        <w:t>anel</w:t>
      </w:r>
      <w:r w:rsidR="002513C6">
        <w:rPr>
          <w:rFonts w:ascii="Times New Roman" w:eastAsia="Times New Roman" w:hAnsi="Times New Roman" w:cs="Times New Roman"/>
        </w:rPr>
        <w:t xml:space="preserve"> 2 comprising of Prof. Bipin Jojo(TISS, Mumbai), Dr. Gomti Bodra(Jamia Millia Islamia, Delhi), Dr. Ayesha Gautam(Dept. of Philosophy), Dr. Rahi Soren( Jadavpur University, Kolkata).</w:t>
      </w:r>
    </w:p>
    <w:p w14:paraId="2EDF4F17" w14:textId="4D521AE1" w:rsidR="00371486" w:rsidRPr="000F3B28" w:rsidRDefault="00371486" w:rsidP="00712B3F">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891E45B" wp14:editId="0301317E">
            <wp:extent cx="3305022" cy="2353456"/>
            <wp:effectExtent l="0" t="0" r="0" b="0"/>
            <wp:docPr id="2964070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407073" name="Picture 296407073"/>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382054" cy="2408309"/>
                    </a:xfrm>
                    <a:prstGeom prst="rect">
                      <a:avLst/>
                    </a:prstGeom>
                  </pic:spPr>
                </pic:pic>
              </a:graphicData>
            </a:graphic>
          </wp:inline>
        </w:drawing>
      </w:r>
      <w:r w:rsidRPr="00371486">
        <w:rPr>
          <w:rFonts w:ascii="Times New Roman" w:eastAsia="Times New Roman" w:hAnsi="Times New Roman" w:cs="Times New Roman"/>
          <w:b/>
          <w:bCs/>
        </w:rPr>
        <w:t>Figure 10:</w:t>
      </w:r>
      <w:r>
        <w:rPr>
          <w:rFonts w:ascii="Times New Roman" w:eastAsia="Times New Roman" w:hAnsi="Times New Roman" w:cs="Times New Roman"/>
        </w:rPr>
        <w:t xml:space="preserve"> Expert Panel 3 comprising of Dr. </w:t>
      </w:r>
      <w:proofErr w:type="spellStart"/>
      <w:r>
        <w:rPr>
          <w:rFonts w:ascii="Times New Roman" w:eastAsia="Times New Roman" w:hAnsi="Times New Roman" w:cs="Times New Roman"/>
        </w:rPr>
        <w:t>Roluahpuia</w:t>
      </w:r>
      <w:proofErr w:type="spellEnd"/>
      <w:r>
        <w:rPr>
          <w:rFonts w:ascii="Times New Roman" w:eastAsia="Times New Roman" w:hAnsi="Times New Roman" w:cs="Times New Roman"/>
        </w:rPr>
        <w:t xml:space="preserve"> (IIT, Roorkee), Dr. Deepali </w:t>
      </w:r>
      <w:proofErr w:type="spellStart"/>
      <w:r>
        <w:rPr>
          <w:rFonts w:ascii="Times New Roman" w:eastAsia="Times New Roman" w:hAnsi="Times New Roman" w:cs="Times New Roman"/>
        </w:rPr>
        <w:t>Dungdung</w:t>
      </w:r>
      <w:proofErr w:type="spellEnd"/>
      <w:r>
        <w:rPr>
          <w:rFonts w:ascii="Times New Roman" w:eastAsia="Times New Roman" w:hAnsi="Times New Roman" w:cs="Times New Roman"/>
        </w:rPr>
        <w:t xml:space="preserve"> (Ranchi University), Dr. Rahi Soren(Jadavpur University), Dr. Ayesha Gautam(Delhi University).</w:t>
      </w:r>
    </w:p>
    <w:p w14:paraId="091B4726" w14:textId="1E10CCDF" w:rsidR="000F3B28" w:rsidRPr="002513C6" w:rsidRDefault="000F3B28" w:rsidP="00712B3F">
      <w:pPr>
        <w:spacing w:before="280" w:after="28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noProof/>
          <w:sz w:val="28"/>
          <w:szCs w:val="28"/>
        </w:rPr>
        <w:lastRenderedPageBreak/>
        <w:drawing>
          <wp:inline distT="0" distB="0" distL="0" distR="0" wp14:anchorId="54179556" wp14:editId="3EACD883">
            <wp:extent cx="3552225" cy="2368019"/>
            <wp:effectExtent l="0" t="0" r="3810" b="0"/>
            <wp:docPr id="619154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54170" name="Picture 619154170"/>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588383" cy="2392123"/>
                    </a:xfrm>
                    <a:prstGeom prst="rect">
                      <a:avLst/>
                    </a:prstGeom>
                  </pic:spPr>
                </pic:pic>
              </a:graphicData>
            </a:graphic>
          </wp:inline>
        </w:drawing>
      </w:r>
      <w:r w:rsidR="002513C6" w:rsidRPr="002513C6">
        <w:rPr>
          <w:rFonts w:ascii="Times New Roman" w:eastAsia="Times New Roman" w:hAnsi="Times New Roman" w:cs="Times New Roman"/>
          <w:b/>
          <w:bCs/>
        </w:rPr>
        <w:t>Figure 1</w:t>
      </w:r>
      <w:r w:rsidR="00371486">
        <w:rPr>
          <w:rFonts w:ascii="Times New Roman" w:eastAsia="Times New Roman" w:hAnsi="Times New Roman" w:cs="Times New Roman"/>
          <w:b/>
          <w:bCs/>
        </w:rPr>
        <w:t>1</w:t>
      </w:r>
      <w:r w:rsidR="002513C6" w:rsidRPr="002513C6">
        <w:rPr>
          <w:rFonts w:ascii="Times New Roman" w:eastAsia="Times New Roman" w:hAnsi="Times New Roman" w:cs="Times New Roman"/>
          <w:b/>
          <w:bCs/>
        </w:rPr>
        <w:t>:</w:t>
      </w:r>
      <w:r w:rsidR="002513C6">
        <w:rPr>
          <w:rFonts w:ascii="Times New Roman" w:eastAsia="Times New Roman" w:hAnsi="Times New Roman" w:cs="Times New Roman"/>
          <w:b/>
          <w:bCs/>
        </w:rPr>
        <w:t xml:space="preserve"> </w:t>
      </w:r>
      <w:r w:rsidR="002513C6" w:rsidRPr="002513C6">
        <w:rPr>
          <w:rFonts w:ascii="Times New Roman" w:eastAsia="Times New Roman" w:hAnsi="Times New Roman" w:cs="Times New Roman"/>
        </w:rPr>
        <w:t>Technical Session 2: Decolonising Tribal Studies.</w:t>
      </w:r>
    </w:p>
    <w:p w14:paraId="79287A84" w14:textId="095A1C80" w:rsidR="002513C6" w:rsidRDefault="000F3B28" w:rsidP="00712B3F">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b/>
          <w:bCs/>
          <w:noProof/>
          <w:sz w:val="28"/>
          <w:szCs w:val="28"/>
        </w:rPr>
        <w:drawing>
          <wp:inline distT="0" distB="0" distL="0" distR="0" wp14:anchorId="3E4549FE" wp14:editId="54F29071">
            <wp:extent cx="3283027" cy="2188564"/>
            <wp:effectExtent l="0" t="0" r="0" b="0"/>
            <wp:docPr id="501482122" name="Picture 2"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82122" name="Picture 2" descr="A group of people standing in a room&#10;&#10;AI-generated content may be incorrect."/>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331989" cy="2221203"/>
                    </a:xfrm>
                    <a:prstGeom prst="rect">
                      <a:avLst/>
                    </a:prstGeom>
                  </pic:spPr>
                </pic:pic>
              </a:graphicData>
            </a:graphic>
          </wp:inline>
        </w:drawing>
      </w:r>
      <w:r w:rsidR="002513C6" w:rsidRPr="002513C6">
        <w:rPr>
          <w:rFonts w:ascii="Times New Roman" w:eastAsia="Times New Roman" w:hAnsi="Times New Roman" w:cs="Times New Roman"/>
          <w:b/>
          <w:bCs/>
        </w:rPr>
        <w:t>Figure 1</w:t>
      </w:r>
      <w:r w:rsidR="00371486">
        <w:rPr>
          <w:rFonts w:ascii="Times New Roman" w:eastAsia="Times New Roman" w:hAnsi="Times New Roman" w:cs="Times New Roman"/>
          <w:b/>
          <w:bCs/>
        </w:rPr>
        <w:t>2</w:t>
      </w:r>
      <w:r w:rsidR="002513C6" w:rsidRPr="002513C6">
        <w:rPr>
          <w:rFonts w:ascii="Times New Roman" w:eastAsia="Times New Roman" w:hAnsi="Times New Roman" w:cs="Times New Roman"/>
          <w:b/>
          <w:bCs/>
        </w:rPr>
        <w:t>:</w:t>
      </w:r>
      <w:r w:rsidR="002513C6">
        <w:rPr>
          <w:rFonts w:ascii="Times New Roman" w:eastAsia="Times New Roman" w:hAnsi="Times New Roman" w:cs="Times New Roman"/>
        </w:rPr>
        <w:t xml:space="preserve"> Panel members of Technical Session 2. </w:t>
      </w:r>
    </w:p>
    <w:p w14:paraId="75DA7920" w14:textId="72AD4C18" w:rsidR="000F3B28" w:rsidRPr="00D04AD0" w:rsidRDefault="000F3B28" w:rsidP="00712B3F">
      <w:pPr>
        <w:spacing w:before="280" w:after="280" w:line="360" w:lineRule="auto"/>
        <w:jc w:val="both"/>
        <w:rPr>
          <w:rFonts w:ascii="Times New Roman" w:eastAsia="Times New Roman" w:hAnsi="Times New Roman" w:cs="Times New Roman"/>
          <w:sz w:val="28"/>
          <w:szCs w:val="28"/>
        </w:rPr>
      </w:pPr>
      <w:r w:rsidRPr="002513C6">
        <w:rPr>
          <w:rFonts w:ascii="Times New Roman" w:eastAsia="Times New Roman" w:hAnsi="Times New Roman" w:cs="Times New Roman"/>
          <w:noProof/>
        </w:rPr>
        <w:drawing>
          <wp:inline distT="0" distB="0" distL="0" distR="0" wp14:anchorId="297154BC" wp14:editId="60A92B64">
            <wp:extent cx="3384217" cy="2256020"/>
            <wp:effectExtent l="0" t="0" r="0" b="5080"/>
            <wp:docPr id="15947398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39862" name="Picture 1594739862"/>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427339" cy="2284766"/>
                    </a:xfrm>
                    <a:prstGeom prst="rect">
                      <a:avLst/>
                    </a:prstGeom>
                  </pic:spPr>
                </pic:pic>
              </a:graphicData>
            </a:graphic>
          </wp:inline>
        </w:drawing>
      </w:r>
      <w:r w:rsidR="002513C6" w:rsidRPr="002513C6">
        <w:rPr>
          <w:rFonts w:ascii="Times New Roman" w:eastAsia="Times New Roman" w:hAnsi="Times New Roman" w:cs="Times New Roman"/>
          <w:b/>
          <w:bCs/>
        </w:rPr>
        <w:t>Figure 1</w:t>
      </w:r>
      <w:r w:rsidR="00371486">
        <w:rPr>
          <w:rFonts w:ascii="Times New Roman" w:eastAsia="Times New Roman" w:hAnsi="Times New Roman" w:cs="Times New Roman"/>
          <w:b/>
          <w:bCs/>
        </w:rPr>
        <w:t>3</w:t>
      </w:r>
      <w:r w:rsidR="002513C6" w:rsidRPr="002513C6">
        <w:rPr>
          <w:rFonts w:ascii="Times New Roman" w:eastAsia="Times New Roman" w:hAnsi="Times New Roman" w:cs="Times New Roman"/>
          <w:b/>
          <w:bCs/>
        </w:rPr>
        <w:t>:</w:t>
      </w:r>
      <w:r w:rsidR="00D04AD0">
        <w:rPr>
          <w:rFonts w:ascii="Times New Roman" w:eastAsia="Times New Roman" w:hAnsi="Times New Roman" w:cs="Times New Roman"/>
          <w:b/>
          <w:bCs/>
        </w:rPr>
        <w:t xml:space="preserve"> </w:t>
      </w:r>
      <w:r w:rsidR="00D04AD0" w:rsidRPr="00D04AD0">
        <w:rPr>
          <w:rFonts w:ascii="Times New Roman" w:eastAsia="Times New Roman" w:hAnsi="Times New Roman" w:cs="Times New Roman"/>
        </w:rPr>
        <w:t>Technical Session 3</w:t>
      </w:r>
      <w:r w:rsidR="00D04AD0">
        <w:rPr>
          <w:rFonts w:ascii="Times New Roman" w:eastAsia="Times New Roman" w:hAnsi="Times New Roman" w:cs="Times New Roman"/>
        </w:rPr>
        <w:t>: Tribal Consciousness in Literary Expression.</w:t>
      </w:r>
    </w:p>
    <w:p w14:paraId="17BAC20C" w14:textId="14C920EF" w:rsidR="000F3B28" w:rsidRPr="00D04AD0" w:rsidRDefault="000F3B28" w:rsidP="00712B3F">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b/>
          <w:bCs/>
          <w:noProof/>
          <w:sz w:val="28"/>
          <w:szCs w:val="28"/>
        </w:rPr>
        <w:lastRenderedPageBreak/>
        <w:drawing>
          <wp:inline distT="0" distB="0" distL="0" distR="0" wp14:anchorId="7749D909" wp14:editId="6D6BEE7D">
            <wp:extent cx="3361730" cy="2241030"/>
            <wp:effectExtent l="0" t="0" r="3810" b="0"/>
            <wp:docPr id="221042399" name="Picture 1" descr="A group of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42399" name="Picture 1" descr="A group of people sitting in chairs&#10;&#10;AI-generated content may be incorrect."/>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3414072" cy="2275923"/>
                    </a:xfrm>
                    <a:prstGeom prst="rect">
                      <a:avLst/>
                    </a:prstGeom>
                  </pic:spPr>
                </pic:pic>
              </a:graphicData>
            </a:graphic>
          </wp:inline>
        </w:drawing>
      </w:r>
      <w:r w:rsidR="00D04AD0" w:rsidRPr="00D04AD0">
        <w:rPr>
          <w:rFonts w:ascii="Times New Roman" w:eastAsia="Times New Roman" w:hAnsi="Times New Roman" w:cs="Times New Roman"/>
          <w:b/>
          <w:bCs/>
        </w:rPr>
        <w:t>Figure 1</w:t>
      </w:r>
      <w:r w:rsidR="00371486">
        <w:rPr>
          <w:rFonts w:ascii="Times New Roman" w:eastAsia="Times New Roman" w:hAnsi="Times New Roman" w:cs="Times New Roman"/>
          <w:b/>
          <w:bCs/>
        </w:rPr>
        <w:t>4</w:t>
      </w:r>
      <w:r w:rsidR="00D04AD0" w:rsidRPr="00D04AD0">
        <w:rPr>
          <w:rFonts w:ascii="Times New Roman" w:eastAsia="Times New Roman" w:hAnsi="Times New Roman" w:cs="Times New Roman"/>
          <w:b/>
          <w:bCs/>
        </w:rPr>
        <w:t>:</w:t>
      </w:r>
      <w:r w:rsidR="00D04AD0">
        <w:rPr>
          <w:rFonts w:ascii="Times New Roman" w:eastAsia="Times New Roman" w:hAnsi="Times New Roman" w:cs="Times New Roman"/>
          <w:b/>
          <w:bCs/>
          <w:sz w:val="28"/>
          <w:szCs w:val="28"/>
        </w:rPr>
        <w:t xml:space="preserve"> </w:t>
      </w:r>
      <w:r w:rsidR="00D04AD0" w:rsidRPr="00D04AD0">
        <w:rPr>
          <w:rFonts w:ascii="Times New Roman" w:eastAsia="Times New Roman" w:hAnsi="Times New Roman" w:cs="Times New Roman"/>
        </w:rPr>
        <w:t xml:space="preserve">Valedictory Note by Prof. Bipin Jojo, TISS, Mumbai. </w:t>
      </w:r>
    </w:p>
    <w:p w14:paraId="148FA678" w14:textId="77777777" w:rsidR="00712B3F" w:rsidRDefault="00712B3F" w:rsidP="00712B3F">
      <w:pPr>
        <w:spacing w:before="280" w:after="280" w:line="360" w:lineRule="auto"/>
        <w:jc w:val="both"/>
        <w:rPr>
          <w:rFonts w:ascii="Times New Roman" w:eastAsia="Times New Roman" w:hAnsi="Times New Roman" w:cs="Times New Roman"/>
          <w:b/>
          <w:bCs/>
          <w:sz w:val="28"/>
          <w:szCs w:val="28"/>
        </w:rPr>
      </w:pPr>
    </w:p>
    <w:p w14:paraId="10DF5DB2" w14:textId="77777777" w:rsidR="00712B3F" w:rsidRPr="00712B3F" w:rsidRDefault="00712B3F" w:rsidP="00712B3F">
      <w:pPr>
        <w:spacing w:before="280" w:after="280" w:line="360" w:lineRule="auto"/>
        <w:jc w:val="both"/>
        <w:rPr>
          <w:rFonts w:ascii="Times New Roman" w:eastAsia="Times New Roman" w:hAnsi="Times New Roman" w:cs="Times New Roman"/>
          <w:b/>
          <w:bCs/>
          <w:sz w:val="28"/>
          <w:szCs w:val="28"/>
        </w:rPr>
      </w:pPr>
    </w:p>
    <w:sectPr w:rsidR="00712B3F" w:rsidRPr="00712B3F">
      <w:type w:val="continuous"/>
      <w:pgSz w:w="11900" w:h="16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3C979" w14:textId="77777777" w:rsidR="00E46AAF" w:rsidRDefault="00E46AAF">
      <w:r>
        <w:separator/>
      </w:r>
    </w:p>
  </w:endnote>
  <w:endnote w:type="continuationSeparator" w:id="0">
    <w:p w14:paraId="382C172A" w14:textId="77777777" w:rsidR="00E46AAF" w:rsidRDefault="00E46A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5C2B59F-4809-6D42-A6AD-2F997379CC4C}"/>
    <w:embedBold r:id="rId2" w:fontKey="{9EBD5E61-33FF-964E-8D52-7B9B89184E49}"/>
    <w:embedItalic r:id="rId3" w:fontKey="{08F710FE-6F3C-DB4A-B2EF-2C41A8202678}"/>
    <w:embedBoldItalic r:id="rId4" w:fontKey="{5269ED6A-040C-8A42-9BA9-911002F3F9D7}"/>
  </w:font>
  <w:font w:name="Symbol">
    <w:panose1 w:val="05050102010706020507"/>
    <w:charset w:val="02"/>
    <w:family w:val="decorative"/>
    <w:pitch w:val="variable"/>
    <w:sig w:usb0="00000000" w:usb1="10000000" w:usb2="00000000" w:usb3="00000000" w:csb0="80000000" w:csb1="00000000"/>
    <w:embedRegular r:id="rId5" w:fontKey="{AD7E6648-ED6F-7A4A-9729-353E2524E2BA}"/>
  </w:font>
  <w:font w:name="Courier New">
    <w:panose1 w:val="02070309020205020404"/>
    <w:charset w:val="00"/>
    <w:family w:val="modern"/>
    <w:pitch w:val="fixed"/>
    <w:sig w:usb0="E0002AFF" w:usb1="C0007843" w:usb2="00000009" w:usb3="00000000" w:csb0="000001FF" w:csb1="00000000"/>
    <w:embedRegular r:id="rId6" w:fontKey="{0797D3ED-E346-EE49-AA5C-AD972B1E74DC}"/>
  </w:font>
  <w:font w:name="Wingdings">
    <w:panose1 w:val="05000000000000000000"/>
    <w:charset w:val="4D"/>
    <w:family w:val="decorative"/>
    <w:pitch w:val="variable"/>
    <w:sig w:usb0="00000003" w:usb1="00000000" w:usb2="00000000" w:usb3="00000000" w:csb0="80000001" w:csb1="00000000"/>
    <w:embedRegular r:id="rId7" w:fontKey="{BC41B803-7C5E-8E47-98A9-0E790FED897D}"/>
  </w:font>
  <w:font w:name="Aptos">
    <w:panose1 w:val="020B0004020202020204"/>
    <w:charset w:val="00"/>
    <w:family w:val="swiss"/>
    <w:pitch w:val="variable"/>
    <w:sig w:usb0="20000287" w:usb1="00000003" w:usb2="00000000" w:usb3="00000000" w:csb0="0000019F" w:csb1="00000000"/>
    <w:embedRegular r:id="rId8" w:fontKey="{0477CC99-4A70-1943-B4F7-09508F17B2D5}"/>
    <w:embedItalic r:id="rId9" w:fontKey="{6D020526-E294-CB48-A934-BB0BC3279545}"/>
  </w:font>
  <w:font w:name="Play">
    <w:altName w:val="Calibri"/>
    <w:panose1 w:val="020B0604020202020204"/>
    <w:charset w:val="00"/>
    <w:family w:val="auto"/>
    <w:pitch w:val="default"/>
  </w:font>
  <w:font w:name="Mangal">
    <w:panose1 w:val="02040503050203030202"/>
    <w:charset w:val="01"/>
    <w:family w:val="roman"/>
    <w:pitch w:val="variable"/>
    <w:sig w:usb0="0000A003" w:usb1="00000000" w:usb2="00000000" w:usb3="00000000" w:csb0="00000001" w:csb1="00000000"/>
    <w:embedRegular r:id="rId11" w:fontKey="{F24514E0-AEC7-AD4D-9838-BC55E5EDDFA0}"/>
    <w:embedItalic r:id="rId12" w:fontKey="{1E402BDC-CB77-5740-ADB7-79AFC26EA5D6}"/>
  </w:font>
  <w:font w:name="Aptos Display">
    <w:panose1 w:val="020B0004020202020204"/>
    <w:charset w:val="00"/>
    <w:family w:val="swiss"/>
    <w:pitch w:val="variable"/>
    <w:sig w:usb0="20000287" w:usb1="00000003" w:usb2="00000000" w:usb3="00000000" w:csb0="0000019F" w:csb1="00000000"/>
    <w:embedRegular r:id="rId13" w:fontKey="{563849D2-B736-344E-AEC4-DAD3F9585185}"/>
  </w:font>
  <w:font w:name="Arial">
    <w:panose1 w:val="020B0604020202020204"/>
    <w:charset w:val="00"/>
    <w:family w:val="swiss"/>
    <w:pitch w:val="variable"/>
    <w:sig w:usb0="E0002AFF" w:usb1="C0007843" w:usb2="00000009" w:usb3="00000000" w:csb0="000001FF" w:csb1="00000000"/>
    <w:embedRegular r:id="rId14" w:fontKey="{C06EDD26-254C-2A49-A4D7-C84669EFDC13}"/>
    <w:embedItalic r:id="rId15" w:fontKey="{6EB75DE8-E3A8-6241-B584-668308AF703E}"/>
  </w:font>
  <w:font w:name="Calibri">
    <w:panose1 w:val="020F0502020204030204"/>
    <w:charset w:val="00"/>
    <w:family w:val="swiss"/>
    <w:pitch w:val="variable"/>
    <w:sig w:usb0="E0002AFF" w:usb1="C000247B" w:usb2="00000009" w:usb3="00000000" w:csb0="000001FF" w:csb1="00000000"/>
    <w:embedRegular r:id="rId16" w:fontKey="{E94398FC-F0C6-0F4E-9FCC-17EEA4936C98}"/>
    <w:embedBold r:id="rId17" w:fontKey="{35776AC3-A454-E449-9DBA-B85A77874D9F}"/>
    <w:embedItalic r:id="rId18" w:fontKey="{54ECEFF3-DE1C-4B4B-B1E3-C232B0238490}"/>
    <w:embedBoldItalic r:id="rId19" w:fontKey="{1BFC5D8A-A7E6-9E46-A420-25BF6814B07F}"/>
  </w:font>
  <w:font w:name="Cambria">
    <w:panose1 w:val="02040503050406030204"/>
    <w:charset w:val="00"/>
    <w:family w:val="roman"/>
    <w:pitch w:val="variable"/>
    <w:sig w:usb0="E00002FF" w:usb1="400004FF" w:usb2="00000000" w:usb3="00000000" w:csb0="0000019F" w:csb1="00000000"/>
    <w:embedRegular r:id="rId20" w:fontKey="{7018036F-66A1-6843-BA9E-E3623647AA8A}"/>
  </w:font>
  <w:font w:name="Baloo">
    <w:panose1 w:val="03080502040302020200"/>
    <w:charset w:val="4D"/>
    <w:family w:val="script"/>
    <w:pitch w:val="variable"/>
    <w:sig w:usb0="A001007F" w:usb1="4000207B" w:usb2="00000000" w:usb3="00000000" w:csb0="00000193" w:csb1="00000000"/>
    <w:embedRegular r:id="rId21" w:fontKey="{E02F1F4F-CF4A-5E4D-8E06-62366E97BBF7}"/>
  </w:font>
  <w:font w:name="Helvetica Neue">
    <w:panose1 w:val="02000503000000020004"/>
    <w:charset w:val="00"/>
    <w:family w:val="auto"/>
    <w:pitch w:val="variable"/>
    <w:sig w:usb0="E50002FF" w:usb1="500079DB" w:usb2="00000010" w:usb3="00000000" w:csb0="00000001" w:csb1="00000000"/>
  </w:font>
  <w:font w:name="Palanquin Dark">
    <w:altName w:val="Calibri"/>
    <w:panose1 w:val="020B0604020202020204"/>
    <w:charset w:val="00"/>
    <w:family w:val="auto"/>
    <w:pitch w:val="default"/>
  </w:font>
  <w:font w:name="Gungsuh">
    <w:panose1 w:val="02030600000101010101"/>
    <w:charset w:val="81"/>
    <w:family w:val="roman"/>
    <w:pitch w:val="variable"/>
    <w:sig w:usb0="B00002AF" w:usb1="69D77CFB" w:usb2="00000030" w:usb3="00000000" w:csb0="0008009F" w:csb1="00000000"/>
    <w:embedRegular r:id="rId24" w:subsetted="1" w:fontKey="{AA7170B6-BF5A-184B-A98C-102C9E56D6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D94F2" w14:textId="77777777" w:rsidR="00E46AAF" w:rsidRDefault="00E46AAF">
      <w:r>
        <w:separator/>
      </w:r>
    </w:p>
  </w:footnote>
  <w:footnote w:type="continuationSeparator" w:id="0">
    <w:p w14:paraId="616AFB3F" w14:textId="77777777" w:rsidR="00E46AAF" w:rsidRDefault="00E46AAF">
      <w:r>
        <w:continuationSeparator/>
      </w:r>
    </w:p>
  </w:footnote>
  <w:footnote w:id="1">
    <w:p w14:paraId="4C3BE131" w14:textId="77777777" w:rsidR="003934E1" w:rsidRDefault="00000000">
      <w:pPr>
        <w:jc w:val="both"/>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Adivasis (meaning native inhabitants) is a designation applied in India to the indigenous tribal peoples thought to have been one of the earliest groups to settle in the subcontinent, long before later migrations and state development.</w:t>
      </w:r>
    </w:p>
  </w:footnote>
  <w:footnote w:id="2">
    <w:p w14:paraId="303AFFBA"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Birsa Ulgulan (1899-1900), also known as the tribal insurrection, of the late 19th century, was organised by Birsa Munda, the landless Munda tribal leader in the Chotanagpur area, against land exploitation by hostile landlords, missionary activities and British colonial rule. It represented a struggle against dispossession, bonded labour, and cultural oppression and became the point of reference in the Adivasi political consciousness.</w:t>
      </w:r>
    </w:p>
  </w:footnote>
  <w:footnote w:id="3">
    <w:p w14:paraId="62713DC3"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Diku Adivasi-like communities often refer to non-tribal populations who tend to exploit tribal land, labour, and resources; this term is very often used to signify some external domination and intrusion into indigenous ways of living.</w:t>
      </w:r>
    </w:p>
  </w:footnote>
  <w:footnote w:id="4">
    <w:p w14:paraId="2D5B4EB6" w14:textId="77777777" w:rsidR="003934E1" w:rsidRDefault="00000000">
      <w:pPr>
        <w:jc w:val="both"/>
        <w:rPr>
          <w:rFonts w:ascii="Calibri" w:eastAsia="Calibri" w:hAnsi="Calibri" w:cs="Calibri"/>
          <w:sz w:val="20"/>
          <w:szCs w:val="20"/>
        </w:rPr>
      </w:pPr>
      <w:r>
        <w:rPr>
          <w:vertAlign w:val="superscript"/>
        </w:rPr>
        <w:footnoteRef/>
      </w:r>
      <w:r>
        <w:rPr>
          <w:rFonts w:ascii="Times New Roman" w:eastAsia="Times New Roman" w:hAnsi="Times New Roman" w:cs="Times New Roman"/>
          <w:sz w:val="20"/>
          <w:szCs w:val="20"/>
        </w:rPr>
        <w:t xml:space="preserve"> Particularly Vulnerable Tribal Group (PVTG). The Dongaria Kondh community, which had previously lived in the Niyamgiri Hills of Odisha, began to be widely known all over the world thanks to their opposition to the bauxite mining project, which was planned to start in the south of the hills in the early 2000s by Vedanta Resources. Although their movement's roots rested on environmental issues and the religious and cultural relation to Niyam Raja (mountain god), their actions effectively stopped mining through grassroots grouping, court involvement, and global alliances</w:t>
      </w:r>
      <w:r>
        <w:rPr>
          <w:rFonts w:ascii="Calibri" w:eastAsia="Calibri" w:hAnsi="Calibri" w:cs="Calibri"/>
          <w:sz w:val="20"/>
          <w:szCs w:val="20"/>
        </w:rPr>
        <w:t>.</w:t>
      </w:r>
    </w:p>
  </w:footnote>
  <w:footnote w:id="5">
    <w:p w14:paraId="22E77309"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Calibri" w:eastAsia="Calibri" w:hAnsi="Calibri" w:cs="Calibri"/>
          <w:sz w:val="20"/>
          <w:szCs w:val="20"/>
        </w:rPr>
        <w:t xml:space="preserve"> </w:t>
      </w:r>
      <w:r>
        <w:rPr>
          <w:rFonts w:ascii="Times New Roman" w:eastAsia="Times New Roman" w:hAnsi="Times New Roman" w:cs="Times New Roman"/>
          <w:sz w:val="20"/>
          <w:szCs w:val="20"/>
        </w:rPr>
        <w:t>The Census of India is the most significant decennial census activity of the Office of the Registrar General and Census Commissioner in the Ministry of Home Affairs in the Government of India. It gathers information in systematic categories about the population, social, cultural, and economic aspects, which form an important source of information for policies and studies</w:t>
      </w:r>
    </w:p>
  </w:footnote>
  <w:footnote w:id="6">
    <w:p w14:paraId="2434EEB9"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category of Scheduled Tribe is a category in the Indian Constitution defined in disciplinary proceedings according to Article 342 of the Indian Constitution, as per the deliberation of the Governor of a State, with the President of India, as historically disadvantaged, requiring positive actions in the education, workplace, and political representation.</w:t>
      </w:r>
    </w:p>
  </w:footnote>
  <w:footnote w:id="7">
    <w:p w14:paraId="1DB6E981"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Tribal identity refers to a socially and politically created area of classifying indigenous groups in India that are, most of the time, characterised by their unique cultural practices, systems of kinship, languages, as well as traditional livelihood activities. Although historically used by colonialists to describe forest-dwelling people or primitives, the term today has an external and internal meaning of identifying with a group. It is informed by the processes of rights, identifiable by their struggles to gain justice, identity and freedom.</w:t>
      </w:r>
    </w:p>
  </w:footnote>
  <w:footnote w:id="8">
    <w:p w14:paraId="0D28B97B"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India's first multipurpose river valley project was the Hirakud Dam, a dam built across the Mahanadi River in 1957 in Odisha. Though tending to achieve flood control, irrigation and generation of hydroelectricity, it resulted in the settlement of tens of thousands of tribal and rural communities, causing vital debates on expulsion and rehabilitation due to development, together with rights of Adivasis compelled by large-scale infrastructure expansion.</w:t>
      </w:r>
    </w:p>
  </w:footnote>
  <w:footnote w:id="9">
    <w:p w14:paraId="6E605F53"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Narmada River in Gujarat and Madhya Pradesh comprises a large irrigation project, Narmada Sarovar Project, which is part of the Narmada Valley development programme of the Narmada River. Although meant to serve the purpose of water supply, irrigation, and hydroelectricity, it has caused tens of thousands of tribal and rural communities to be displaced, which has resulted in the Narmada Bachao Andolan movement. The project draws attention to the conflict between the developmental goals and the Adivasi communities' rights, livelihoods and environmental issues.</w:t>
      </w:r>
    </w:p>
  </w:footnote>
  <w:footnote w:id="10">
    <w:p w14:paraId="0235E379"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Rihand Dam, constructed on the Rihand River in Uttar Pradesh (now in Sonbhadra district, Uttar Pradesh), is part of India’s early river valley and hydroelectric projects. While it contributes to power generation and irrigation, the project led to the displacement of several tribal and rural communities, raising concerns about land rights, rehabilitation, and the socio-cultural impact on affected Adivasi populations</w:t>
      </w:r>
    </w:p>
  </w:footnote>
  <w:footnote w:id="11">
    <w:p w14:paraId="68645738"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designation of tribals as pre-modern human beings was quite a creation of colonial ethnography and early anthropological discourse, which positioned the Adivasi societies as fixed, primitive and beyond the realm of history. However, this concept is disputed in contemporary scholarship, given that tribal communities are not children of a bygone period but dynamic communities that constantly change and negotiate the contemporary world. It will assert their rights and maintain their unique cultural identity.</w:t>
      </w:r>
    </w:p>
  </w:footnote>
  <w:footnote w:id="12">
    <w:p w14:paraId="6C72FD60"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In his influential book, Provincialising Europe (2000), Dipesh Chakrabarty explained the location of the subaltern and tribal communities into what he calls the waiting room of history: often set to exist at a pre-modern phase of operations so that they were swept up into the teleology of modernity instead of themselves being a historical agent.</w:t>
      </w:r>
    </w:p>
  </w:footnote>
  <w:footnote w:id="13">
    <w:p w14:paraId="126F2A4A"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 other states (not in the Sixth Schedule), the management and regulation of Scheduled Areas and Tribes is provided by the Fifth Schedule of the Indian Constitution. It gives authority to the Governor to proclaim Scheduled Areas, fix such Tribes Advisory Councils, enact laws by parliament and state legislatures, modify them to secure tribal interests, and give special powers to the President of India.</w:t>
      </w:r>
    </w:p>
  </w:footnote>
  <w:footnote w:id="14">
    <w:p w14:paraId="4DB60743"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Article 244(2) and 275(1) of the Indian Constitution grant administration of tribal areas in the northeastern states of Assam, Meghalaya, Tripura, and Mizoram by Autonomous District Councils (ADCs). These councils are endowed with legislative, administrative, and constrained judicial authority on specific topics like land administration, forest management, village administration, inheritance, marriage and custom law to the extent that this guarantees some forms of self-governance in tribal societies.</w:t>
      </w:r>
    </w:p>
  </w:footnote>
  <w:footnote w:id="15">
    <w:p w14:paraId="5B417FE3"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Panchayati Raj The Panchayat (Extension to Scheduled Areas) Act (PESA), 1996 was passed to apply the provisions of Part IX of the India Constitution of Panchayati Raj to the Fifth Schedule Areas. It acknowledges the right of Gramme Sabhas (village assemblies) in tribal areas to self-government, in particular, customary resources, small-scale forest produce, land alienation, dispute management, and cultural languages, giving Adivasi communities a higher level of autonomy.</w:t>
      </w:r>
    </w:p>
  </w:footnote>
  <w:footnote w:id="16">
    <w:p w14:paraId="7AD40C8A"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Government of India in 1995 constituted the Bhuria Committee, headed by Dileep Singh Bhuria, to investigate extending the Panchayati Raj system to the Fifth Schedule Scheduled Areas. Its proposals highlighted the empowerment of tribal self-rule by Gramme Sabhas, preserving customary practices and securing land/forest rights, and keeping development planning in Adivasi regions community-based. The report of the Committee has provided the framework for the implementation of the Panchayat (Extension to Scheduled Areas) Act, 1996.</w:t>
      </w:r>
    </w:p>
  </w:footnote>
  <w:footnote w:id="17">
    <w:p w14:paraId="33F20B9C"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Narmada Bachao Andolan (NBA) is a social and environmental campaign in India against building mega-dams across the river Narmada, specifically the Sardar Sarovar Project. Founded in the 1980s, it is a social and environmental movement. The campaign was spearheaded by activists such as Medha Patkar, who shed light on the displacement of the tribal communities, loss of livelihood, degradation of the environment, and the insufficiency of the rehabilitation efforts made. It has involved the mobilisation of the grassroots and legal interventions. It demands additional rights of the Adivasis to the national and international platforms treating the issue of development-related displacement.</w:t>
      </w:r>
    </w:p>
  </w:footnote>
  <w:footnote w:id="18">
    <w:p w14:paraId="67B434B7"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Dongria Kondh of Odisha successfully resisted bauxite mining on their sacred Niyamgiri Hills, a campaign that gained national and international attention in the 2000s. Grounded in their spiritual connection to Niyam Raja (the mountain deity), their mobilisation combined grassroots activism, legal interventions, and advocacy through civil society and international organisations. In 2013, the Supreme Court of India upheld the community’s right to give or withhold consent for mining on their land, marking a landmark victory for tribal autonomy and the protection of indigenous sacred sites.</w:t>
      </w:r>
    </w:p>
  </w:footnote>
  <w:footnote w:id="19">
    <w:p w14:paraId="0757308B"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Bastar Adivasi people in Chhattisgarh recorded resisting land acquisition to generate steel plants, industrial corridors, and mining projects to jeopardise their forest-dependent livelihoods, sacred groves and customary land ownership claims. These disputes, which escalated in the 2000s through corporate and state-led industrialisation, grassroots mobilisation, legal challenges, and links with civil society actors, impose Adivasi rights to natural resources and self-determination.</w:t>
      </w:r>
    </w:p>
  </w:footnote>
  <w:footnote w:id="20">
    <w:p w14:paraId="36EDF2BA"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Vanbandhu Kalyan Yojana VKY is a tribal welfare scheme created in 2007 by the Government of India to promote the holistic growth of the Scheduled Tribes. It aims to enhance livelihood prospects, health, education, skills, and social infrastructure in tribal regions. It also emphasizes participatory planning through local governance institutions to ensure development interventions are oriented towards Adivasi needs and culture.</w:t>
      </w:r>
    </w:p>
  </w:footnote>
  <w:footnote w:id="21">
    <w:p w14:paraId="6185A62E"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Tribal Sub-Plan Tribal Sub-Plan (TSP), or government of India introduced in 1974, is a planning scheme designed to provide a proportional amount of development funds, both central and state, to the socio-economic development of Scheduled Tribes. The TSP considers educating, promoting livelihoods, health, infrastructural development, and poverty eradication key areas. However, more importantly, it ensures the survival of the cultural identity and traditional practices of tribal communities. However, it helps to erode the cultural significance of these tribes in the overall development process.</w:t>
      </w:r>
    </w:p>
  </w:footnote>
  <w:footnote w:id="22">
    <w:p w14:paraId="5F452008"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Operation Green Hunt - Operation Green Hunt is a set of counter-insurgency operations launched by the Indian government in the late 2000s against Naxalite-Maoist insurgents, mainly in the forested tribal states of central and eastern India. Opponents believe that the operation mainly targeted the Adivasi communities in the name of insurgency, resulting in militarisation, displacement, and deterioration of their tribal rights, giving rise to the question of what security and development, or the safeguarding of the native populations, should take priority.</w:t>
      </w:r>
    </w:p>
  </w:footnote>
  <w:footnote w:id="23">
    <w:p w14:paraId="79EAAD44" w14:textId="77777777" w:rsidR="003934E1" w:rsidRDefault="00000000">
      <w:pPr>
        <w:jc w:val="both"/>
        <w:rPr>
          <w:rFonts w:ascii="Calibri" w:eastAsia="Calibri" w:hAnsi="Calibri" w:cs="Calibri"/>
          <w:sz w:val="20"/>
          <w:szCs w:val="20"/>
        </w:rPr>
      </w:pPr>
      <w:r>
        <w:rPr>
          <w:vertAlign w:val="superscript"/>
        </w:rPr>
        <w:footnoteRef/>
      </w:r>
      <w:r>
        <w:rPr>
          <w:rFonts w:ascii="Times New Roman" w:eastAsia="Times New Roman" w:hAnsi="Times New Roman" w:cs="Times New Roman"/>
          <w:sz w:val="20"/>
          <w:szCs w:val="20"/>
        </w:rPr>
        <w:t xml:space="preserve"> Birsa Munda (18751900) was a tribal leader and religious reformer of the Munda community in the Chotanagpur region (nowadays the Jharkhand region). He commanded the Ulgulan (Great Tumult) revolt against the British colonial rule, the landlords and missionaries who exploited and seized the lands alongside forests, supporting tribal control, safeguarding land and forest rights, and recovering indigenous cultural and religious practices. Birsa Munda remains an icon of India's Adivasi transformation and political awareness</w:t>
      </w:r>
      <w:r>
        <w:rPr>
          <w:rFonts w:ascii="Calibri" w:eastAsia="Calibri" w:hAnsi="Calibri" w:cs="Calibri"/>
          <w:sz w:val="20"/>
          <w:szCs w:val="20"/>
        </w:rPr>
        <w:t>.</w:t>
      </w:r>
    </w:p>
  </w:footnote>
  <w:footnote w:id="24">
    <w:p w14:paraId="3B060C27"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Dikus is a term that is used in Adivasi communities, which describes the non-tribal outsiders who encroach on tribal territory and resources. In the past, the dikus comprised colonial administrators, landlords, traders, and missionaries and in the modern day, they frequently represent developers or industrial players. The term symbolises both the image of exploitation and the interference of the indigenous socio-cultural and economic systems.</w:t>
      </w:r>
    </w:p>
  </w:footnote>
  <w:footnote w:id="25">
    <w:p w14:paraId="720D1725"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Green technology is considered to be eco-friendly technologies developed to reduce the ecological harm, decrease the carbon effects, and enhance renewable energy, resources treatment, and preservation of pollution. It includes innovations in the fields of solar and wind power, waste disposal, and green agriculture. Carbon offsetting refers to a process whereby individuals, firms, or governments can cover their emissions of greenhouse gases by investing in projects that can deliver the same quantity of carbon dioxide reduction/elimination to the atmospheric environment e.g. afforestation, alternative energy generating projects, or methane capture projects.</w:t>
      </w:r>
    </w:p>
  </w:footnote>
  <w:footnote w:id="26">
    <w:p w14:paraId="7B3DE49E"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word noble savage was coined by European Enlightenment philosophy in an attempt to portray indigenous people as pure, innocent and morally superior to the decadence of civilised society. Though fashionableized through scholarly sources, the sense of a primitive and patronising approach towards Adivasi and other indigenous people is frowned upon and criticised by modern science because their social, political, and historical contexts have many twists and turns.</w:t>
      </w:r>
    </w:p>
  </w:footnote>
  <w:footnote w:id="27">
    <w:p w14:paraId="10787D1C" w14:textId="77777777" w:rsidR="003934E1" w:rsidRDefault="00000000">
      <w:pPr>
        <w:jc w:val="both"/>
        <w:rPr>
          <w:rFonts w:ascii="Calibri" w:eastAsia="Calibri" w:hAnsi="Calibri" w:cs="Calibri"/>
          <w:sz w:val="20"/>
          <w:szCs w:val="20"/>
        </w:rPr>
      </w:pPr>
      <w:r>
        <w:rPr>
          <w:vertAlign w:val="superscript"/>
        </w:rPr>
        <w:footnoteRef/>
      </w:r>
      <w:r>
        <w:rPr>
          <w:rFonts w:ascii="Times New Roman" w:eastAsia="Times New Roman" w:hAnsi="Times New Roman" w:cs="Times New Roman"/>
          <w:sz w:val="20"/>
          <w:szCs w:val="20"/>
        </w:rPr>
        <w:t xml:space="preserve"> Adivasi and other marginalised groups that challenge the authority of a state, or exploitative system, have been commonly labelled as violent rebels, because of how those stories are often construed along colonial and postcolonial histories. Such framing underlines the employment of force and hides the socio-economic, cultural, and political resentments which drive such resistance and therefore reduces complex struggles to moralistic or criminal fitness</w:t>
      </w:r>
    </w:p>
  </w:footnote>
  <w:footnote w:id="28">
    <w:p w14:paraId="79644A73" w14:textId="77777777" w:rsidR="003934E1" w:rsidRDefault="00000000">
      <w:pPr>
        <w:jc w:val="both"/>
        <w:rPr>
          <w:rFonts w:ascii="Calibri" w:eastAsia="Calibri" w:hAnsi="Calibri" w:cs="Calibri"/>
          <w:sz w:val="20"/>
          <w:szCs w:val="20"/>
        </w:rPr>
      </w:pPr>
      <w:r>
        <w:rPr>
          <w:vertAlign w:val="superscript"/>
        </w:rPr>
        <w:footnoteRef/>
      </w:r>
      <w:r>
        <w:rPr>
          <w:rFonts w:ascii="Times New Roman" w:eastAsia="Times New Roman" w:hAnsi="Times New Roman" w:cs="Times New Roman"/>
          <w:sz w:val="20"/>
          <w:szCs w:val="20"/>
        </w:rPr>
        <w:t xml:space="preserve"> Hansda Sowvendra Shekhar is a Jharkhandi Indian writer, physician and literary writer whose literary work prophesys the life, culture and plight of the notorious Santhal Adivas of Jharkhand. He wrote about identity, marginalisation, and overlap of tradition and modernity, and covered these issues through his collections of short storeys and novels, giving Adivasi experiences a platform in mainstream Indian literature</w:t>
      </w:r>
      <w:r>
        <w:rPr>
          <w:rFonts w:ascii="Calibri" w:eastAsia="Calibri" w:hAnsi="Calibri" w:cs="Calibri"/>
          <w:sz w:val="20"/>
          <w:szCs w:val="20"/>
        </w:rPr>
        <w:t>.</w:t>
      </w:r>
    </w:p>
  </w:footnote>
  <w:footnote w:id="29">
    <w:p w14:paraId="17890F39"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Foresec Tribes and Other Traditional Forest Dwellers (Recognition of Forest Rights) Act, 2006, often referred to as Forest Rights Act (FRA), whose provisions acknowledge legitimate rights of the inhabitants around specific forests to forest areas and forest products, traditionally relied upon. It establishes the entitlement of individuals and communities, such as habitation, cultivation, minor forest produce, nightingale groves, and seeks to rectify historical injustices and participatory forest management.</w:t>
      </w:r>
    </w:p>
  </w:footnote>
  <w:footnote w:id="30">
    <w:p w14:paraId="0019B156" w14:textId="77777777" w:rsidR="003934E1" w:rsidRDefault="00000000">
      <w:pPr>
        <w:jc w:val="both"/>
        <w:rPr>
          <w:rFonts w:ascii="Calibri" w:eastAsia="Calibri" w:hAnsi="Calibri" w:cs="Calibri"/>
          <w:sz w:val="20"/>
          <w:szCs w:val="20"/>
        </w:rPr>
      </w:pPr>
      <w:r>
        <w:rPr>
          <w:vertAlign w:val="superscript"/>
        </w:rPr>
        <w:footnoteRef/>
      </w:r>
      <w:r>
        <w:rPr>
          <w:rFonts w:ascii="Times New Roman" w:eastAsia="Times New Roman" w:hAnsi="Times New Roman" w:cs="Times New Roman"/>
          <w:sz w:val="20"/>
          <w:szCs w:val="20"/>
        </w:rPr>
        <w:t xml:space="preserve"> The Adivasi Women’s Collectives are grass-root groups of indigenous women that have been established in order to address social, economic and political problems in their own societies. These groups work to advance women leadership, safeguard cultural activities, protect with land and forest rights, improve the livelihood and dump oppression or displacement. They are very instrumental in enhancing the voices of tribal women in decision making and promotions of development at the community level.</w:t>
      </w:r>
    </w:p>
  </w:footnote>
  <w:footnote w:id="31">
    <w:p w14:paraId="74B4E97C"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Feminist Tribal Research An analytical strategy that explore through an analysis of the power, life and experience of Adivasi women by integrating the concepts of feminist theory with tribal studies. It intends to point out gendered inequalities, socio-cultural prohibitions, and structural marginalisation and put in focus indigenous women voices, knowledge systems, and strategies of resistance. This approach makes a stand against patriarchal practises in tribal community and colonial or state based portrayal of Adivasis</w:t>
      </w:r>
    </w:p>
  </w:footnote>
  <w:footnote w:id="32">
    <w:p w14:paraId="5B6E318F"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Community-Led Action Research (CLAR): CLAR is an interactive research methodology where the community of people, especially the Underprivileged groups or indigenous people produce, develop, and evaluate research projects, which impact their lives. It is a research methodology that involves focusing on local knowledge, group conclusion and practical consequence making sure that the research can directly benefit the community and taking into account social, economic or environmental issues within the individual or community scope</w:t>
      </w:r>
    </w:p>
  </w:footnote>
  <w:footnote w:id="33">
    <w:p w14:paraId="2D7017A3"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Scheduled Tribes and Other Traditional Forest Dwellers (Recognition of Forest Rights) Act, 2006 (also known as Forest Rights Act, FRA) acknowledges rights of communities, who dwell in forests and other scheduled tribes and other traditional forest dwellers, over land, resources and habitats on which they depended historically. The Act safeguards personal and communal privileges, consisting of planting, gathering cabinets of small forest produce, admittance to holy areas, and community leadership, to address wrongs in the past thus enhance equitable control of forests.</w:t>
      </w:r>
    </w:p>
  </w:footnote>
  <w:footnote w:id="34">
    <w:p w14:paraId="40479624"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United Nations Declaration on the Rights of Indigenous Peoples (UNDRIP), which is a declaration set by the UN general assembly in 2007, defines a broad platform on how to protect the rights of indigenous people across the world. It acknowledges their rights to self-determination, lands, territories, resources, cultural preservation, and to boot a form of participation in decision making procedures that concern their communities and is an important international tool in categorising indigenous rights and policy.</w:t>
      </w:r>
    </w:p>
  </w:footnote>
  <w:footnote w:id="35">
    <w:p w14:paraId="1557B953" w14:textId="77777777" w:rsidR="003934E1" w:rsidRDefault="00000000">
      <w:pPr>
        <w:jc w:val="both"/>
        <w:rPr>
          <w:rFonts w:ascii="Calibri" w:eastAsia="Calibri" w:hAnsi="Calibri" w:cs="Calibri"/>
          <w:sz w:val="20"/>
          <w:szCs w:val="20"/>
        </w:rPr>
      </w:pPr>
      <w:r>
        <w:rPr>
          <w:vertAlign w:val="superscript"/>
        </w:rPr>
        <w:footnoteRef/>
      </w:r>
      <w:r>
        <w:rPr>
          <w:rFonts w:ascii="Times New Roman" w:eastAsia="Times New Roman" w:hAnsi="Times New Roman" w:cs="Times New Roman"/>
          <w:sz w:val="20"/>
          <w:szCs w:val="20"/>
        </w:rPr>
        <w:t xml:space="preserve"> The United Nations Declaration on the Rights of Indigenous Peoples (UNDRIP), which is a declaration set by the UN general assembly in 2007, defines a broad platform on how to protect the rights of indigenous people across the world. It acknowledges their rights to self-determination, lands, territories, resources, cultural preservation, and to boot a form of participation in decision making procedures that concern their communities and is an important international tool in categorising indigenous</w:t>
      </w:r>
      <w:r>
        <w:rPr>
          <w:rFonts w:ascii="Calibri" w:eastAsia="Calibri" w:hAnsi="Calibri" w:cs="Calibri"/>
          <w:sz w:val="20"/>
          <w:szCs w:val="20"/>
        </w:rPr>
        <w:t xml:space="preserve"> </w:t>
      </w:r>
      <w:r>
        <w:rPr>
          <w:rFonts w:ascii="Times New Roman" w:eastAsia="Times New Roman" w:hAnsi="Times New Roman" w:cs="Times New Roman"/>
          <w:sz w:val="20"/>
          <w:szCs w:val="20"/>
        </w:rPr>
        <w:t>rights and policy.</w:t>
      </w:r>
    </w:p>
  </w:footnote>
  <w:footnote w:id="36">
    <w:p w14:paraId="616D5B40" w14:textId="77777777" w:rsidR="003934E1" w:rsidRDefault="00000000">
      <w:pPr>
        <w:rPr>
          <w:rFonts w:ascii="Times New Roman" w:eastAsia="Times New Roman" w:hAnsi="Times New Roman" w:cs="Times New Roman"/>
          <w:sz w:val="20"/>
          <w:szCs w:val="20"/>
        </w:rPr>
      </w:pPr>
      <w:r>
        <w:rPr>
          <w:vertAlign w:val="superscript"/>
        </w:rPr>
        <w:footnoteRef/>
      </w:r>
      <w:r>
        <w:rPr>
          <w:rFonts w:ascii="Cambria" w:eastAsia="Cambria" w:hAnsi="Cambria" w:cs="Cambria"/>
          <w:sz w:val="20"/>
          <w:szCs w:val="20"/>
        </w:rPr>
        <w:t xml:space="preserve"> </w:t>
      </w:r>
      <w:r>
        <w:rPr>
          <w:rFonts w:ascii="Times New Roman" w:eastAsia="Times New Roman" w:hAnsi="Times New Roman" w:cs="Times New Roman"/>
          <w:sz w:val="20"/>
          <w:szCs w:val="20"/>
        </w:rPr>
        <w:t>Munda governs the village.</w:t>
      </w:r>
    </w:p>
  </w:footnote>
  <w:footnote w:id="37">
    <w:p w14:paraId="3B5285A2" w14:textId="77777777" w:rsidR="003934E1"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Manki governs group of villages/ ilakas (area) known as pirs.</w:t>
      </w:r>
    </w:p>
  </w:footnote>
  <w:footnote w:id="38">
    <w:p w14:paraId="67DD7A75" w14:textId="77777777" w:rsidR="003934E1" w:rsidRDefault="00000000">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Members of the Kolhan Raksha Sangh (KRS) wrote  to the Commonwealth nations and travelled to Geneva demanding a separate nation.</w:t>
      </w:r>
    </w:p>
  </w:footnote>
  <w:footnote w:id="39">
    <w:p w14:paraId="36AFB5D8" w14:textId="77777777" w:rsidR="003934E1" w:rsidRDefault="00000000">
      <w:pPr>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During this period Ramo Birua was infamous for demanding separation. </w:t>
      </w:r>
    </w:p>
  </w:footnote>
  <w:footnote w:id="40">
    <w:p w14:paraId="0DDFE30F"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There were around 3-4 attempts by the Raja of Porahat to rule the Hos, popularly known as the ‘Larka (fighting) Kols’ since late 18th century. </w:t>
      </w:r>
    </w:p>
  </w:footnote>
  <w:footnote w:id="41">
    <w:p w14:paraId="611663C7"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Roughsedge to Metcalfe, 9 May 1820, para 9</w:t>
      </w:r>
    </w:p>
  </w:footnote>
  <w:footnote w:id="42">
    <w:p w14:paraId="32FEC560"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Dalton, Tribal History, pp. 180-181</w:t>
      </w:r>
    </w:p>
  </w:footnote>
  <w:footnote w:id="43">
    <w:p w14:paraId="72E6C5EB"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O’Malley, Bengal District Gazetteer, p.35</w:t>
      </w:r>
    </w:p>
  </w:footnote>
  <w:footnote w:id="44">
    <w:p w14:paraId="1A43C49B"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There were 5 terms in the agreement of 1821 saying accepting- 1) subjection to British government, 2) rent payment to chiefs/ zamindars 3) keeping the roads safe &amp; open for travellers, 4) allowing other castes to settle in the village, 5) complaining to officers when oppressed by chiefs/ zamindars. </w:t>
      </w:r>
    </w:p>
  </w:footnote>
  <w:footnote w:id="45">
    <w:p w14:paraId="34DA27EE"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The Kol revolt saw wider participation from other Adivasi groups in the region.</w:t>
      </w:r>
    </w:p>
  </w:footnote>
  <w:footnote w:id="46">
    <w:p w14:paraId="303AA317"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The Kolhan Government Estate (K.G.E) under Regulation XIII</w:t>
      </w:r>
    </w:p>
  </w:footnote>
  <w:footnote w:id="47">
    <w:p w14:paraId="548F63B9"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Regulation XIII of 1833 formalised the inclusion of Kolhan Government Estate under the</w:t>
      </w:r>
    </w:p>
    <w:p w14:paraId="1BF19D28" w14:textId="77777777" w:rsidR="003934E1" w:rsidRDefault="00000000">
      <w:pPr>
        <w:rPr>
          <w:rFonts w:ascii="Arial" w:eastAsia="Arial" w:hAnsi="Arial" w:cs="Arial"/>
          <w:sz w:val="20"/>
          <w:szCs w:val="20"/>
        </w:rPr>
      </w:pPr>
      <w:r>
        <w:rPr>
          <w:rFonts w:ascii="Arial" w:eastAsia="Arial" w:hAnsi="Arial" w:cs="Arial"/>
          <w:sz w:val="20"/>
          <w:szCs w:val="20"/>
        </w:rPr>
        <w:t xml:space="preserve">administrative control of the South West Frontier Agency. </w:t>
      </w:r>
    </w:p>
  </w:footnote>
  <w:footnote w:id="48">
    <w:p w14:paraId="1F26BF0E"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Final Report on the Settlement of Kolhan Government Estate in District Singhbhum, p. 40.</w:t>
      </w:r>
    </w:p>
  </w:footnote>
  <w:footnote w:id="49">
    <w:p w14:paraId="2C7C466B"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Final Report on the Settlement of Kolhan Government Estate in District Singhbhum, p.2.</w:t>
      </w:r>
    </w:p>
  </w:footnote>
  <w:footnote w:id="50">
    <w:p w14:paraId="36A6318A"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Bihar District Gazetteers: Singhbhum, p. 358</w:t>
      </w:r>
    </w:p>
  </w:footnote>
  <w:footnote w:id="51">
    <w:p w14:paraId="20C75D97"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Bihar District Gazetteers: Singhbhum, p. 359</w:t>
      </w:r>
    </w:p>
  </w:footnote>
  <w:footnote w:id="52">
    <w:p w14:paraId="1B5E3742"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The actual death tolls are still unclear.</w:t>
      </w:r>
    </w:p>
  </w:footnote>
  <w:footnote w:id="53">
    <w:p w14:paraId="087AAACF"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New Year celebrations are avoided and not encouraged by the Ho community.</w:t>
      </w:r>
    </w:p>
  </w:footnote>
  <w:footnote w:id="54">
    <w:p w14:paraId="64F773C8"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Collective ownership of land by lineage/ family group.</w:t>
      </w:r>
    </w:p>
  </w:footnote>
  <w:footnote w:id="55">
    <w:p w14:paraId="04219C6C"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Original settlers who cleared the forests and settled villages</w:t>
      </w:r>
    </w:p>
  </w:footnote>
  <w:footnote w:id="56">
    <w:p w14:paraId="187A89C5" w14:textId="77777777" w:rsidR="003934E1" w:rsidRDefault="00000000">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The Kolhan movement was known for its leaders writing letters to the 'Commonwealth Nations'. They also met with British officials and went to Geneva to ask for United Nations membership. This movement had its own goals and was separate from the Jharkhand Movement.</w:t>
      </w:r>
    </w:p>
    <w:p w14:paraId="3003F653" w14:textId="77777777" w:rsidR="003934E1" w:rsidRDefault="003934E1">
      <w:pPr>
        <w:rPr>
          <w:rFonts w:ascii="Arial" w:eastAsia="Arial" w:hAnsi="Arial" w:cs="Arial"/>
          <w:sz w:val="20"/>
          <w:szCs w:val="20"/>
        </w:rPr>
      </w:pPr>
    </w:p>
  </w:footnote>
  <w:footnote w:id="57">
    <w:p w14:paraId="230DAAFE"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Mora Ho vs State Of Bihar And Ors. on 5 January, 2000</w:t>
      </w:r>
    </w:p>
  </w:footnote>
  <w:footnote w:id="58">
    <w:p w14:paraId="5E6587C5" w14:textId="77777777" w:rsidR="003934E1" w:rsidRDefault="00000000">
      <w:pPr>
        <w:jc w:val="both"/>
        <w:rPr>
          <w:rFonts w:ascii="Arial" w:eastAsia="Arial" w:hAnsi="Arial" w:cs="Arial"/>
          <w:sz w:val="20"/>
          <w:szCs w:val="20"/>
        </w:rPr>
      </w:pPr>
      <w:r>
        <w:rPr>
          <w:vertAlign w:val="superscript"/>
        </w:rPr>
        <w:footnoteRef/>
      </w:r>
      <w:r>
        <w:rPr>
          <w:rFonts w:ascii="Arial" w:eastAsia="Arial" w:hAnsi="Arial" w:cs="Arial"/>
          <w:sz w:val="20"/>
          <w:szCs w:val="20"/>
        </w:rPr>
        <w:t xml:space="preserve"> The Monthly Munda-Manki meeting is held every month on the 13th. The Ho village leaders from the Kolhan region attend it.</w:t>
      </w:r>
    </w:p>
  </w:footnote>
  <w:footnote w:id="59">
    <w:p w14:paraId="781684ED"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Help them understand current problems and be good at their jobs.</w:t>
      </w:r>
    </w:p>
  </w:footnote>
  <w:footnote w:id="60">
    <w:p w14:paraId="12F67BAD"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For managing daily expenses</w:t>
      </w:r>
    </w:p>
  </w:footnote>
  <w:footnote w:id="61">
    <w:p w14:paraId="14F34DD4"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In 2000, the Bihar High Court asked for Wilkinson’s Rules to be reviewed. After a recruitment scam in 2022, the DC office notified they would draft new rules.</w:t>
      </w:r>
    </w:p>
  </w:footnote>
  <w:footnote w:id="62">
    <w:p w14:paraId="54FD7769"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Job recruitment scam under K.G.E</w:t>
      </w:r>
    </w:p>
  </w:footnote>
  <w:footnote w:id="63">
    <w:p w14:paraId="1ADAD63B"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Kolhan is rich in natural resources, specifically iron ore.</w:t>
      </w:r>
    </w:p>
  </w:footnote>
  <w:footnote w:id="64">
    <w:p w14:paraId="58595C2A"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Neither with the Adivasis or civil society organisations.</w:t>
      </w:r>
    </w:p>
  </w:footnote>
  <w:footnote w:id="65">
    <w:p w14:paraId="7731A314"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These two events happen on January 1st and 2nd every year.</w:t>
      </w:r>
    </w:p>
  </w:footnote>
  <w:footnote w:id="66">
    <w:p w14:paraId="464A1EB7"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An important moment in the Ho people's fight against colonial powers.</w:t>
      </w:r>
    </w:p>
  </w:footnote>
  <w:footnote w:id="67">
    <w:p w14:paraId="24893444"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The story:  </w:t>
      </w:r>
      <w:hyperlink r:id="rId1">
        <w:r w:rsidR="003934E1">
          <w:rPr>
            <w:rFonts w:ascii="Arial" w:eastAsia="Arial" w:hAnsi="Arial" w:cs="Arial"/>
            <w:color w:val="1155CC"/>
            <w:sz w:val="20"/>
            <w:szCs w:val="20"/>
            <w:u w:val="single"/>
          </w:rPr>
          <w:t>https://moonchasing.wordpress.com/2012/04/09/a-constitutions-dead-army/</w:t>
        </w:r>
      </w:hyperlink>
    </w:p>
  </w:footnote>
  <w:footnote w:id="68">
    <w:p w14:paraId="3EA6C9C1"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The story: </w:t>
      </w:r>
      <w:hyperlink r:id="rId2">
        <w:r w:rsidR="003934E1">
          <w:rPr>
            <w:rFonts w:ascii="Arial" w:eastAsia="Arial" w:hAnsi="Arial" w:cs="Arial"/>
            <w:color w:val="1155CC"/>
            <w:sz w:val="20"/>
            <w:szCs w:val="20"/>
            <w:u w:val="single"/>
          </w:rPr>
          <w:t>https://navbharattimes.indiatimes.com/state/jharkhand/chaibasa/gua-firing-incident-on-8-september-1980-for-first-time-in-country-bullets-were-fired-in-hospital-violating-red-cross-law/articleshow/113155370.cms</w:t>
        </w:r>
      </w:hyperlink>
    </w:p>
  </w:footnote>
  <w:footnote w:id="69">
    <w:p w14:paraId="1F96BBAB"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The Panchayati Raj system has been criticised for weakening the traditional governance of Adivasi communities.</w:t>
      </w:r>
    </w:p>
  </w:footnote>
  <w:footnote w:id="70">
    <w:p w14:paraId="74AA5EB1"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In legal terms, the Mankis are known as Native chiefs.</w:t>
      </w:r>
    </w:p>
  </w:footnote>
  <w:footnote w:id="71">
    <w:p w14:paraId="46FFA8C2" w14:textId="77777777" w:rsidR="003934E1" w:rsidRDefault="00000000">
      <w:pPr>
        <w:rPr>
          <w:rFonts w:ascii="Arial" w:eastAsia="Arial" w:hAnsi="Arial" w:cs="Arial"/>
          <w:sz w:val="20"/>
          <w:szCs w:val="20"/>
        </w:rPr>
      </w:pPr>
      <w:r>
        <w:rPr>
          <w:vertAlign w:val="superscript"/>
        </w:rPr>
        <w:footnoteRef/>
      </w:r>
      <w:r>
        <w:rPr>
          <w:rFonts w:ascii="Arial" w:eastAsia="Arial" w:hAnsi="Arial" w:cs="Arial"/>
          <w:sz w:val="20"/>
          <w:szCs w:val="20"/>
        </w:rPr>
        <w:t xml:space="preserve"> In the past, when the British wanted to stop the Ho resistance, they first made friends with the Mundas and Mankis before entering the area.</w:t>
      </w:r>
    </w:p>
  </w:footnote>
  <w:footnote w:id="72">
    <w:p w14:paraId="58F9E913" w14:textId="77777777" w:rsidR="003934E1" w:rsidRDefault="00000000">
      <w:pPr>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Bose, N. K. (1962). </w:t>
      </w:r>
      <w:r>
        <w:rPr>
          <w:rFonts w:ascii="Times New Roman" w:eastAsia="Times New Roman" w:hAnsi="Times New Roman" w:cs="Times New Roman"/>
          <w:i/>
          <w:sz w:val="20"/>
          <w:szCs w:val="20"/>
        </w:rPr>
        <w:t>The religion of the Mundas and other essays</w:t>
      </w:r>
      <w:r>
        <w:rPr>
          <w:rFonts w:ascii="Times New Roman" w:eastAsia="Times New Roman" w:hAnsi="Times New Roman" w:cs="Times New Roman"/>
          <w:sz w:val="20"/>
          <w:szCs w:val="20"/>
        </w:rPr>
        <w:t>. Oxford University Press.</w:t>
      </w:r>
    </w:p>
  </w:footnote>
  <w:footnote w:id="73">
    <w:p w14:paraId="066F6C80" w14:textId="77777777" w:rsidR="003934E1" w:rsidRDefault="00000000">
      <w:pPr>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Mahato, B. (1983). </w:t>
      </w:r>
      <w:r>
        <w:rPr>
          <w:rFonts w:ascii="Times New Roman" w:eastAsia="Times New Roman" w:hAnsi="Times New Roman" w:cs="Times New Roman"/>
          <w:i/>
          <w:sz w:val="20"/>
          <w:szCs w:val="20"/>
        </w:rPr>
        <w:t>Birsa Munda: The tribal hero</w:t>
      </w:r>
      <w:r>
        <w:rPr>
          <w:rFonts w:ascii="Times New Roman" w:eastAsia="Times New Roman" w:hAnsi="Times New Roman" w:cs="Times New Roman"/>
          <w:sz w:val="20"/>
          <w:szCs w:val="20"/>
        </w:rPr>
        <w:t>. Anmol Publications.</w:t>
      </w:r>
    </w:p>
  </w:footnote>
  <w:footnote w:id="74">
    <w:p w14:paraId="7BA221DE" w14:textId="77777777" w:rsidR="003934E1" w:rsidRDefault="00000000">
      <w:pPr>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Singh, A., &amp; Chakravarty, P. (2023). Birsa Munda: A cultural icon. </w:t>
      </w:r>
      <w:r>
        <w:rPr>
          <w:rFonts w:ascii="Times New Roman" w:eastAsia="Times New Roman" w:hAnsi="Times New Roman" w:cs="Times New Roman"/>
          <w:i/>
          <w:sz w:val="20"/>
          <w:szCs w:val="20"/>
        </w:rPr>
        <w:t>Journal of Tribal Studies</w:t>
      </w:r>
      <w:r>
        <w:rPr>
          <w:rFonts w:ascii="Times New Roman" w:eastAsia="Times New Roman" w:hAnsi="Times New Roman" w:cs="Times New Roman"/>
          <w:sz w:val="20"/>
          <w:szCs w:val="20"/>
        </w:rPr>
        <w:t>, 41(2), 180–195.</w:t>
      </w:r>
    </w:p>
  </w:footnote>
  <w:footnote w:id="75">
    <w:p w14:paraId="15FA4AC5" w14:textId="77777777" w:rsidR="003934E1" w:rsidRDefault="00000000">
      <w:pPr>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Raj KN. Peasant Struggles in India. Oxford University Press; c1974.</w:t>
      </w:r>
    </w:p>
  </w:footnote>
  <w:footnote w:id="76">
    <w:p w14:paraId="3E132A7A" w14:textId="77777777" w:rsidR="003934E1"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Sinha, S. (1970). </w:t>
      </w:r>
      <w:r>
        <w:rPr>
          <w:rFonts w:ascii="Times New Roman" w:eastAsia="Times New Roman" w:hAnsi="Times New Roman" w:cs="Times New Roman"/>
          <w:i/>
          <w:sz w:val="20"/>
          <w:szCs w:val="20"/>
        </w:rPr>
        <w:t>Freedom Movement Bihar project</w:t>
      </w:r>
      <w:r>
        <w:rPr>
          <w:rFonts w:ascii="Times New Roman" w:eastAsia="Times New Roman" w:hAnsi="Times New Roman" w:cs="Times New Roman"/>
          <w:sz w:val="20"/>
          <w:szCs w:val="20"/>
        </w:rPr>
        <w:t>.</w:t>
      </w:r>
    </w:p>
  </w:footnote>
  <w:footnote w:id="77">
    <w:p w14:paraId="00516C08" w14:textId="77777777" w:rsidR="003934E1"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Hoffmann, J., &amp; Emelen, A. van. (Year). </w:t>
      </w:r>
      <w:r>
        <w:rPr>
          <w:rFonts w:ascii="Times New Roman" w:eastAsia="Times New Roman" w:hAnsi="Times New Roman" w:cs="Times New Roman"/>
          <w:i/>
          <w:sz w:val="20"/>
          <w:szCs w:val="20"/>
        </w:rPr>
        <w:t>Encyclopaedia Mundarica</w:t>
      </w:r>
      <w:r>
        <w:rPr>
          <w:rFonts w:ascii="Times New Roman" w:eastAsia="Times New Roman" w:hAnsi="Times New Roman" w:cs="Times New Roman"/>
          <w:sz w:val="20"/>
          <w:szCs w:val="20"/>
        </w:rPr>
        <w:t xml:space="preserve"> (Vols. 1–16). Government of Bihar.</w:t>
      </w:r>
    </w:p>
  </w:footnote>
  <w:footnote w:id="78">
    <w:p w14:paraId="4EAA1CFD" w14:textId="77777777" w:rsidR="003934E1" w:rsidRDefault="00000000">
      <w:pPr>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Ghurye, G. S. (1963). </w:t>
      </w:r>
      <w:r>
        <w:rPr>
          <w:rFonts w:ascii="Times New Roman" w:eastAsia="Times New Roman" w:hAnsi="Times New Roman" w:cs="Times New Roman"/>
          <w:i/>
          <w:sz w:val="20"/>
          <w:szCs w:val="20"/>
        </w:rPr>
        <w:t>The tribal question in India</w:t>
      </w:r>
      <w:r>
        <w:rPr>
          <w:rFonts w:ascii="Times New Roman" w:eastAsia="Times New Roman" w:hAnsi="Times New Roman" w:cs="Times New Roman"/>
          <w:sz w:val="20"/>
          <w:szCs w:val="20"/>
        </w:rPr>
        <w:t>. Popular Prakashan.</w:t>
      </w:r>
    </w:p>
  </w:footnote>
  <w:footnote w:id="79">
    <w:p w14:paraId="6F26E495" w14:textId="77777777" w:rsidR="003934E1" w:rsidRDefault="00000000">
      <w:pPr>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Singh, A. (2012). Censorship and propaganda: Media during the ‘Ulgulan Movement.’ </w:t>
      </w:r>
      <w:r>
        <w:rPr>
          <w:rFonts w:ascii="Times New Roman" w:eastAsia="Times New Roman" w:hAnsi="Times New Roman" w:cs="Times New Roman"/>
          <w:i/>
          <w:sz w:val="20"/>
          <w:szCs w:val="20"/>
        </w:rPr>
        <w:t>Media History Review</w:t>
      </w:r>
      <w:r>
        <w:rPr>
          <w:rFonts w:ascii="Times New Roman" w:eastAsia="Times New Roman" w:hAnsi="Times New Roman" w:cs="Times New Roman"/>
          <w:sz w:val="20"/>
          <w:szCs w:val="20"/>
        </w:rPr>
        <w:t>, 25(4), 278–293.</w:t>
      </w:r>
    </w:p>
  </w:footnote>
  <w:footnote w:id="80">
    <w:p w14:paraId="421C2C14" w14:textId="77777777" w:rsidR="003934E1" w:rsidRDefault="00000000">
      <w:pPr>
        <w:spacing w:before="120" w:after="120" w:line="36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city name and all the names of the people are pseudonyms. Most youth participants chose their pseudonyms. In some cases, I have slightly modified personal information or affiliations related to the participants to protect their anonymity.  </w:t>
      </w:r>
    </w:p>
  </w:footnote>
  <w:footnote w:id="81">
    <w:p w14:paraId="4DD3D029" w14:textId="77777777" w:rsidR="003934E1" w:rsidRDefault="00000000">
      <w:pPr>
        <w:spacing w:before="120" w:after="120" w:line="36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 use ‘State’ to refer to the Indian State as a whole, defined by its geographical boundaries along with its associated administrative, political, and legal characteristics. I use ‘state’ to denote the different geographical states in India.</w:t>
      </w:r>
    </w:p>
  </w:footnote>
  <w:footnote w:id="82">
    <w:p w14:paraId="51E58704" w14:textId="77777777" w:rsidR="003934E1" w:rsidRDefault="00000000">
      <w:pPr>
        <w:spacing w:before="120" w:after="120" w:line="36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bookmarkStart w:id="16" w:name="bookmark=kix.qizixs266nk" w:colFirst="0" w:colLast="0"/>
      <w:bookmarkEnd w:id="16"/>
      <w:r>
        <w:rPr>
          <w:rFonts w:ascii="Times New Roman" w:eastAsia="Times New Roman" w:hAnsi="Times New Roman" w:cs="Times New Roman"/>
          <w:sz w:val="20"/>
          <w:szCs w:val="20"/>
        </w:rPr>
        <w:t>By first-generation school goers, I refer to students for whom neither parent has completed middle school, which is equivalent to grade eight in India. I use middle school as a defining criterion for a first-generation school goer because Article 21A of the Constitution of India guarantees the right to education as a fundamental right for children between the ages of six and fourteen. This amendment was introduced in 2002, making elementary education mandatory up to grade eight. To give effect to this provision, the Right to Education (RTE) was enacted in 2009.</w:t>
      </w:r>
    </w:p>
  </w:footnote>
  <w:footnote w:id="83">
    <w:p w14:paraId="6D798149" w14:textId="77777777" w:rsidR="003934E1" w:rsidRDefault="00000000">
      <w:pPr>
        <w:spacing w:before="120" w:after="120" w:line="36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For an introduction to the scholarly work related to this potent desire for government jobs in India, see Jeffrey (2010), Priyam (2024), and Vaid (2024).</w:t>
      </w:r>
    </w:p>
  </w:footnote>
  <w:footnote w:id="84">
    <w:p w14:paraId="6961CFBE" w14:textId="77777777" w:rsidR="003934E1" w:rsidRDefault="00000000">
      <w:pPr>
        <w:spacing w:before="120" w:after="120" w:line="360" w:lineRule="auto"/>
        <w:jc w:val="both"/>
        <w:rPr>
          <w:rFonts w:ascii="Times New Roman" w:eastAsia="Times New Roman" w:hAnsi="Times New Roman" w:cs="Times New Roman"/>
        </w:rPr>
      </w:pPr>
      <w:r>
        <w:rPr>
          <w:vertAlign w:val="superscript"/>
        </w:rPr>
        <w:footnoteRef/>
      </w:r>
      <w:r>
        <w:rPr>
          <w:rFonts w:ascii="Times New Roman" w:eastAsia="Times New Roman" w:hAnsi="Times New Roman" w:cs="Times New Roman"/>
          <w:sz w:val="20"/>
          <w:szCs w:val="20"/>
        </w:rPr>
        <w:t xml:space="preserve"> NCC plays a key role in the lives of many students in grades nine and ten in a semi-urban city like Baliyapal. It is an organization that operates under the Ministry of Defence, Government of India. Its aim is to focus on youth, instilling the values of patriotism, discipline, community living, and leadership, among other things. The primary mode of training for youth is a week-long camp in Jagdalpur, where they receive practical training in weapon use and maintenance, map reading, communications, and army exercises.</w:t>
      </w:r>
    </w:p>
  </w:footnote>
  <w:footnote w:id="85">
    <w:p w14:paraId="686BA063" w14:textId="77777777" w:rsidR="003934E1" w:rsidRDefault="00000000">
      <w:pPr>
        <w:spacing w:before="120" w:after="120" w:line="36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 senior secondary government schools, many students join the National Service Scheme (NSS), which is administered by the Ministry of Youth Affairs and Sports, Government of India. This organization aims to develop student volunteers in schools who will work with the community to promote the social welfare of society. Through NSS, students undertake different activities in schools or public spaces in the city, such as tree planting, cleaning, or community-related work in camps in rural areas under the guidance of a teacher. </w:t>
      </w:r>
    </w:p>
  </w:footnote>
  <w:footnote w:id="86">
    <w:p w14:paraId="03F4D32E" w14:textId="77777777" w:rsidR="003934E1" w:rsidRDefault="00000000">
      <w:pPr>
        <w:spacing w:before="120" w:after="120" w:line="360" w:lineRule="auto"/>
        <w:jc w:val="both"/>
        <w:rPr>
          <w:rFonts w:ascii="Times New Roman" w:eastAsia="Times New Roman" w:hAnsi="Times New Roman" w:cs="Times New Roman"/>
        </w:rPr>
      </w:pPr>
      <w:r>
        <w:rPr>
          <w:vertAlign w:val="superscript"/>
        </w:rPr>
        <w:footnoteRef/>
      </w:r>
      <w:r>
        <w:rPr>
          <w:rFonts w:ascii="Times New Roman" w:eastAsia="Times New Roman" w:hAnsi="Times New Roman" w:cs="Times New Roman"/>
          <w:sz w:val="20"/>
          <w:szCs w:val="20"/>
        </w:rPr>
        <w:t xml:space="preserve"> The paramilitary forces – called Central Armed Police Forces (CAPFs) – deployed in different parts of Bastar include the Central Reserve Police Force (CRPF), the Indo-Tibetan Border Police (ITBP), and the Border Security Force (BSF). The state forces, which are part of the Chhattisgarh state police involved in this battle against the Naxals in Bastar, include the District Reserve Guard (DRG) and the Special Task Force (STF). The Congress-led state government of Chhattisgarh also introduced a specialised force called the ‘Bastar Fighters’ in 2021 to combat Naxal-related violence in Bastar. The Chhattisgarh Police are recruiting Adivasi youths of different genders as the Bastar Fighters and training them to fight the Naxals.</w:t>
      </w:r>
    </w:p>
  </w:footnote>
  <w:footnote w:id="87">
    <w:p w14:paraId="62563DB0" w14:textId="77777777" w:rsidR="003934E1" w:rsidRDefault="00000000">
      <w:pPr>
        <w:spacing w:before="120" w:after="120" w:line="36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Baliyapal was a part of the District of Bastar until 15 years ago when it became an administrative entity of its own in 2009. While it remains part of the Bastar region, it now has its own administrative and State machinery. Fifteen years ago, one had to go to Jagdalpur, the capital of the Bastar District, a three-hour drive from Baliyapal</w:t>
      </w:r>
      <w:r>
        <w:rPr>
          <w:rFonts w:ascii="Times New Roman" w:eastAsia="Times New Roman" w:hAnsi="Times New Roman" w:cs="Times New Roman"/>
        </w:rPr>
        <w:t xml:space="preserve"> </w:t>
      </w:r>
      <w:r>
        <w:rPr>
          <w:rFonts w:ascii="Times New Roman" w:eastAsia="Times New Roman" w:hAnsi="Times New Roman" w:cs="Times New Roman"/>
          <w:sz w:val="20"/>
          <w:szCs w:val="20"/>
        </w:rPr>
        <w:t>on a public bus, for any work related to the State. For instance, obtaining a State-mandated identification document required a full day of planning and travelling.</w:t>
      </w:r>
    </w:p>
  </w:footnote>
  <w:footnote w:id="88">
    <w:p w14:paraId="218968B3" w14:textId="77777777" w:rsidR="003934E1" w:rsidRDefault="00000000">
      <w:pPr>
        <w:spacing w:before="120" w:after="120" w:line="36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When I use the terms ‘family’ or ‘family members,’ I am referring specifically to parents and generally to immediate family, including siblings.  </w:t>
      </w:r>
    </w:p>
  </w:footnote>
  <w:footnote w:id="89">
    <w:p w14:paraId="2F8253C0" w14:textId="77777777" w:rsidR="003934E1" w:rsidRDefault="00000000">
      <w:pPr>
        <w:spacing w:before="120" w:after="120" w:line="36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Additionally, the primary and secondary education that Bhurva youth receive in the schools of their villages in Baliyapal is plagued by issues common to rural schooling across the country. These include teacher absenteeism, a lack of teachers knowledgeable about the region’s local contexts (Béteille, 2009; Bowen, 2018; Kremer et al., 2005), insufficient training for teachers (Batra, 2005; Srinivasan, 2015), inadequate infrastructural facilities, student absenteeism and dropouts, and an excessive focus on rote learning (Nayak &amp; Kumar, 2022; Ramachandran, 2018; Sharma &amp; Ramachandran, 2012).</w:t>
      </w:r>
    </w:p>
  </w:footnote>
  <w:footnote w:id="90">
    <w:p w14:paraId="35D3B37C" w14:textId="77777777" w:rsidR="003934E1" w:rsidRDefault="00000000">
      <w:pPr>
        <w:spacing w:before="120" w:after="120" w:line="36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In September 2019, the provision for recruiting local residents for Classes C and D in government jobs (Class III and Class IV employees) was introduced in various departments of the districts in the Bastar and Surguja regions, both designated as Scheduled Areas in Chhattisgarh. In 2021, this reservation was also extended to jobs at the divisional level. This change indicated that only local residents would be recruited for divisional-level posts in Bastar (and Surguja, located in northern Chhattisgarh). In May 2022, the Chhattisgarh High Court cancelled these reservations, ruling them unconstitutional. Consequently, the priority for local recruitment in these divisions ended abruptly, allowing individuals from outside Bastar to be employed for third and fourth category posts in the region.  </w:t>
      </w:r>
    </w:p>
    <w:p w14:paraId="15996182" w14:textId="77777777" w:rsidR="003934E1" w:rsidRDefault="00000000">
      <w:pPr>
        <w:spacing w:before="120" w:after="120" w:line="360" w:lineRule="auto"/>
        <w:ind w:firstLine="567"/>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issue of reservations has been entangled in several legal disputes in Chhattisgarh over the years, and it continues to be so. As of now, in 2025, the reservation formula for government jobs and educational institutions in the state stands at 32% for Scheduled Tribes (STs), 12% for Scheduled Castes (SCs), and 14% for Other Backward Classes (OBCs). However, these figures have been challenged in court, as the overall percentage of reservations must be less than 50% according to the reservation policy of the Central Government of India. Successive state governments have continued to play around with these numbers as the politics surrounding reservations in the state remain tumultuous.  </w:t>
      </w:r>
    </w:p>
  </w:footnote>
  <w:footnote w:id="91">
    <w:p w14:paraId="383E7A50" w14:textId="77777777" w:rsidR="003934E1" w:rsidRDefault="00000000">
      <w:pPr>
        <w:spacing w:line="276"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Ashram schools are rural residential schools in Adivasi areas that provide free standardized, primary education and boarding to Adivasi students from neighbouring regions (Jojo, 2013). The subjects, curricula and pedagogies adopted in these schools are similar to the ones practiced in government primary schools. Over the past two decades, many new Ashram schools have been established in central India to enhance the accessibility of modern education for Adivasi students. Most of these institutions are State-run or State-aided. For a brief historical context and understanding of the current conditions of Ashram Schools, see Veerbhadranaika et al. (2012).</w:t>
      </w:r>
    </w:p>
  </w:footnote>
  <w:footnote w:id="92">
    <w:p w14:paraId="4FE730D8" w14:textId="77777777" w:rsidR="003934E1" w:rsidRDefault="00000000">
      <w:pPr>
        <w:jc w:val="center"/>
        <w:rPr>
          <w:rFonts w:ascii="Times New Roman" w:eastAsia="Times New Roman" w:hAnsi="Times New Roman" w:cs="Times New Roman"/>
          <w:b/>
          <w:sz w:val="20"/>
          <w:szCs w:val="20"/>
        </w:rPr>
      </w:pPr>
      <w:r>
        <w:rPr>
          <w:vertAlign w:val="superscript"/>
        </w:rPr>
        <w:footnoteRef/>
      </w:r>
      <w:r>
        <w:rPr>
          <w:rFonts w:ascii="Times New Roman" w:eastAsia="Times New Roman" w:hAnsi="Times New Roman" w:cs="Times New Roman"/>
          <w:b/>
          <w:sz w:val="20"/>
          <w:szCs w:val="20"/>
        </w:rPr>
        <w:t>Endnotes</w:t>
      </w:r>
    </w:p>
    <w:p w14:paraId="7349A9E1" w14:textId="77777777" w:rsidR="003934E1" w:rsidRDefault="003934E1">
      <w:pPr>
        <w:jc w:val="center"/>
        <w:rPr>
          <w:rFonts w:ascii="Times New Roman" w:eastAsia="Times New Roman" w:hAnsi="Times New Roman" w:cs="Times New Roman"/>
          <w:b/>
          <w:sz w:val="20"/>
          <w:szCs w:val="20"/>
        </w:rPr>
      </w:pPr>
    </w:p>
    <w:p w14:paraId="6C070DA7" w14:textId="77777777" w:rsidR="003934E1" w:rsidRDefault="003934E1">
      <w:pPr>
        <w:jc w:val="center"/>
        <w:rPr>
          <w:rFonts w:ascii="Times New Roman" w:eastAsia="Times New Roman" w:hAnsi="Times New Roman" w:cs="Times New Roman"/>
          <w:b/>
          <w:sz w:val="20"/>
          <w:szCs w:val="20"/>
        </w:rPr>
      </w:pPr>
    </w:p>
    <w:p w14:paraId="65A3B5AE" w14:textId="77777777" w:rsidR="003934E1"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From the middle of the eighteenth century, Kokrah gradually came to be known as ‘Chutia Nagpore’, Chuta Nagpore’ and more commonly as ‘Chhota Nagpore’. (Virottam, 1972, p.xiii)</w:t>
      </w:r>
    </w:p>
    <w:p w14:paraId="547DB159" w14:textId="77777777" w:rsidR="003934E1" w:rsidRDefault="00000000">
      <w:pPr>
        <w:rPr>
          <w:rFonts w:ascii="Calibri" w:eastAsia="Calibri" w:hAnsi="Calibri" w:cs="Calibri"/>
          <w:sz w:val="20"/>
          <w:szCs w:val="20"/>
        </w:rPr>
      </w:pPr>
      <w:r>
        <w:rPr>
          <w:rFonts w:ascii="Calibri" w:eastAsia="Calibri" w:hAnsi="Calibri" w:cs="Calibri"/>
          <w:sz w:val="20"/>
          <w:szCs w:val="20"/>
        </w:rPr>
        <w:t xml:space="preserve"> </w:t>
      </w:r>
    </w:p>
  </w:footnote>
  <w:footnote w:id="93">
    <w:p w14:paraId="750974B4"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Nagbanshis used the opportunity to consolidate their authority over the petty estates of Bundu, Silli, Barwa, Rahe, Tamar etc. The chiefs of these estates were thoroughly subdued and were compelled to acknowledge the Nagbanshi ruler as their “Chief”. Henceforth at the time of every succession in their estates, they waited upon the Nagbanshi rulers, paid homage with a nazrana and received their titles from them. (Virottam, 1972, p. 51)</w:t>
      </w:r>
    </w:p>
    <w:p w14:paraId="06CF0146" w14:textId="77777777" w:rsidR="003934E1" w:rsidRDefault="003934E1">
      <w:pPr>
        <w:jc w:val="both"/>
        <w:rPr>
          <w:rFonts w:ascii="Times New Roman" w:eastAsia="Times New Roman" w:hAnsi="Times New Roman" w:cs="Times New Roman"/>
          <w:sz w:val="20"/>
          <w:szCs w:val="20"/>
        </w:rPr>
      </w:pPr>
    </w:p>
  </w:footnote>
  <w:footnote w:id="94">
    <w:p w14:paraId="4E7092DA" w14:textId="77777777" w:rsidR="003934E1" w:rsidRDefault="00000000">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It was only by regulation XVIII OF 1805 that Jungle Mahals as a definite entity came into existence. According to O’Malley, “The district thus formed was composed of 23 parganas and Mahals, of which fifteen, including Panchet, were transferred from Birbhum; three were transferred from Burdwan; viz., Senpahari, Shergarh and Bishnupur, excepting the police circle of Kolatpur, and the contiguous pargana of Balsi, which remained under the jurisdiction of the magistrate of Burdwan; and five were transferred from Midnapore viz., Chhatna, Barabhum, Manbhum, Supur, Ambikanagar, Simlapal, and Balaidiha.”( O’ Malley, BDGB, pp 42-43)</w:t>
      </w:r>
    </w:p>
    <w:p w14:paraId="4FBE866B" w14:textId="77777777" w:rsidR="003934E1" w:rsidRDefault="003934E1">
      <w:pPr>
        <w:jc w:val="both"/>
        <w:rPr>
          <w:rFonts w:ascii="Times New Roman" w:eastAsia="Times New Roman" w:hAnsi="Times New Roman" w:cs="Times New Roman"/>
          <w:sz w:val="20"/>
          <w:szCs w:val="20"/>
        </w:rPr>
      </w:pPr>
    </w:p>
  </w:footnote>
  <w:footnote w:id="95">
    <w:p w14:paraId="5B378CD0" w14:textId="77777777" w:rsidR="003934E1" w:rsidRDefault="00000000">
      <w:pPr>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According to….., the Cheros did not depend on ‘pillage and brigandage’ for building up their kingdom. Their magnificent fort and their tributes to the Mughal Emperor speak for a rather high stage of development  and acculturation. (Askari (ed), vol 2, part 1, p. 280)</w:t>
      </w:r>
    </w:p>
    <w:p w14:paraId="7D21EE83" w14:textId="77777777" w:rsidR="003934E1" w:rsidRDefault="003934E1">
      <w:pPr>
        <w:rPr>
          <w:rFonts w:ascii="Times New Roman" w:eastAsia="Times New Roman" w:hAnsi="Times New Roman" w:cs="Times New Roman"/>
          <w:sz w:val="20"/>
          <w:szCs w:val="20"/>
        </w:rPr>
      </w:pPr>
    </w:p>
    <w:p w14:paraId="19C80776" w14:textId="77777777" w:rsidR="003934E1" w:rsidRDefault="003934E1">
      <w:pPr>
        <w:rPr>
          <w:rFonts w:ascii="Times New Roman" w:eastAsia="Times New Roman" w:hAnsi="Times New Roman" w:cs="Times New Roman"/>
          <w:sz w:val="20"/>
          <w:szCs w:val="20"/>
        </w:rPr>
      </w:pPr>
    </w:p>
    <w:p w14:paraId="29D2F4B0" w14:textId="77777777" w:rsidR="003934E1" w:rsidRDefault="003934E1">
      <w:pPr>
        <w:rPr>
          <w:rFonts w:ascii="Times New Roman" w:eastAsia="Times New Roman" w:hAnsi="Times New Roman" w:cs="Times New Roman"/>
          <w:sz w:val="20"/>
          <w:szCs w:val="20"/>
        </w:rPr>
      </w:pPr>
    </w:p>
    <w:p w14:paraId="1D01CDF8" w14:textId="77777777" w:rsidR="003934E1" w:rsidRDefault="003934E1">
      <w:pPr>
        <w:rPr>
          <w:rFonts w:ascii="Times New Roman" w:eastAsia="Times New Roman" w:hAnsi="Times New Roman" w:cs="Times New Roman"/>
          <w:sz w:val="20"/>
          <w:szCs w:val="20"/>
        </w:rPr>
      </w:pPr>
    </w:p>
    <w:p w14:paraId="69476840" w14:textId="77777777" w:rsidR="003934E1"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References </w:t>
      </w:r>
    </w:p>
    <w:p w14:paraId="73775230" w14:textId="77777777" w:rsidR="003934E1" w:rsidRDefault="003934E1">
      <w:pPr>
        <w:rPr>
          <w:rFonts w:ascii="Times New Roman" w:eastAsia="Times New Roman" w:hAnsi="Times New Roman" w:cs="Times New Roman"/>
          <w:sz w:val="20"/>
          <w:szCs w:val="20"/>
        </w:rPr>
      </w:pPr>
    </w:p>
    <w:p w14:paraId="4398EDB4"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Askari, S.H. &amp; Ahmad, Q. (Ed.). (1983). </w:t>
      </w:r>
      <w:r>
        <w:rPr>
          <w:rFonts w:ascii="Times New Roman" w:eastAsia="Times New Roman" w:hAnsi="Times New Roman" w:cs="Times New Roman"/>
          <w:i/>
          <w:sz w:val="20"/>
          <w:szCs w:val="20"/>
        </w:rPr>
        <w:t>The Comprehensive History of Bihar, Vol. II, Part 1</w:t>
      </w:r>
      <w:r>
        <w:rPr>
          <w:rFonts w:ascii="Times New Roman" w:eastAsia="Times New Roman" w:hAnsi="Times New Roman" w:cs="Times New Roman"/>
          <w:sz w:val="20"/>
          <w:szCs w:val="20"/>
        </w:rPr>
        <w:t>. K.P. Jayaswal Research Institute. Patna.</w:t>
      </w:r>
    </w:p>
    <w:p w14:paraId="5CE3EC61"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Chaudhari, B.B. (2004). Tribal Society in Transition: Eastern India 1757-1920 in Mushirul Hasan and Narayani Gupta (ed</w:t>
      </w:r>
      <w:r>
        <w:rPr>
          <w:rFonts w:ascii="Times New Roman" w:eastAsia="Times New Roman" w:hAnsi="Times New Roman" w:cs="Times New Roman"/>
          <w:i/>
          <w:sz w:val="20"/>
          <w:szCs w:val="20"/>
        </w:rPr>
        <w:t>) India’s Colonial Encounter</w:t>
      </w:r>
      <w:r>
        <w:rPr>
          <w:rFonts w:ascii="Times New Roman" w:eastAsia="Times New Roman" w:hAnsi="Times New Roman" w:cs="Times New Roman"/>
          <w:sz w:val="20"/>
          <w:szCs w:val="20"/>
        </w:rPr>
        <w:t>, Manohar. Delhi.</w:t>
      </w:r>
    </w:p>
    <w:p w14:paraId="2EF024D9"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Das, B.S. (1973). </w:t>
      </w:r>
      <w:r>
        <w:rPr>
          <w:rFonts w:ascii="Times New Roman" w:eastAsia="Times New Roman" w:hAnsi="Times New Roman" w:cs="Times New Roman"/>
          <w:i/>
          <w:sz w:val="20"/>
          <w:szCs w:val="20"/>
        </w:rPr>
        <w:t>Civil Rebellion in the Frontier Bengal (1760-1805)</w:t>
      </w:r>
      <w:r>
        <w:rPr>
          <w:rFonts w:ascii="Times New Roman" w:eastAsia="Times New Roman" w:hAnsi="Times New Roman" w:cs="Times New Roman"/>
          <w:sz w:val="20"/>
          <w:szCs w:val="20"/>
        </w:rPr>
        <w:t>, Calcutta.</w:t>
      </w:r>
    </w:p>
    <w:p w14:paraId="4DC269FB"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Datta, K.K. (1936). </w:t>
      </w:r>
      <w:r>
        <w:rPr>
          <w:rFonts w:ascii="Times New Roman" w:eastAsia="Times New Roman" w:hAnsi="Times New Roman" w:cs="Times New Roman"/>
          <w:i/>
          <w:sz w:val="20"/>
          <w:szCs w:val="20"/>
        </w:rPr>
        <w:t>Studies In The History Of The Bengal Subah</w:t>
      </w:r>
      <w:r>
        <w:rPr>
          <w:rFonts w:ascii="Times New Roman" w:eastAsia="Times New Roman" w:hAnsi="Times New Roman" w:cs="Times New Roman"/>
          <w:sz w:val="20"/>
          <w:szCs w:val="20"/>
        </w:rPr>
        <w:t>. University of Calcutta.</w:t>
      </w:r>
    </w:p>
    <w:p w14:paraId="36689129"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Firminger, W.K. (ed.). (1914), </w:t>
      </w:r>
      <w:r>
        <w:rPr>
          <w:rFonts w:ascii="Times New Roman" w:eastAsia="Times New Roman" w:hAnsi="Times New Roman" w:cs="Times New Roman"/>
          <w:i/>
          <w:sz w:val="20"/>
          <w:szCs w:val="20"/>
        </w:rPr>
        <w:t>Bengal District Records Midnapur</w:t>
      </w:r>
      <w:r>
        <w:rPr>
          <w:rFonts w:ascii="Times New Roman" w:eastAsia="Times New Roman" w:hAnsi="Times New Roman" w:cs="Times New Roman"/>
          <w:sz w:val="20"/>
          <w:szCs w:val="20"/>
        </w:rPr>
        <w:t xml:space="preserve"> (BDRM) 1763-1767, vol. 1. Calcutta.</w:t>
      </w:r>
    </w:p>
    <w:p w14:paraId="6495969A"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(1915), </w:t>
      </w:r>
      <w:r>
        <w:rPr>
          <w:rFonts w:ascii="Times New Roman" w:eastAsia="Times New Roman" w:hAnsi="Times New Roman" w:cs="Times New Roman"/>
          <w:i/>
          <w:sz w:val="20"/>
          <w:szCs w:val="20"/>
        </w:rPr>
        <w:t>Bengal District Records Midnapur</w:t>
      </w:r>
      <w:r>
        <w:rPr>
          <w:rFonts w:ascii="Times New Roman" w:eastAsia="Times New Roman" w:hAnsi="Times New Roman" w:cs="Times New Roman"/>
          <w:sz w:val="20"/>
          <w:szCs w:val="20"/>
        </w:rPr>
        <w:t xml:space="preserve"> (BDRM),1767-1770, vol. 2. Calcutta.</w:t>
      </w:r>
    </w:p>
    <w:p w14:paraId="59BF8170"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----------------------------(1917). </w:t>
      </w:r>
      <w:r>
        <w:rPr>
          <w:rFonts w:ascii="Times New Roman" w:eastAsia="Times New Roman" w:hAnsi="Times New Roman" w:cs="Times New Roman"/>
          <w:i/>
          <w:sz w:val="20"/>
          <w:szCs w:val="20"/>
        </w:rPr>
        <w:t>The Fifth Report from the Select Committee of the House of Commons on the Affairs of the East India Company, Vol. II</w:t>
      </w:r>
      <w:r>
        <w:rPr>
          <w:rFonts w:ascii="Times New Roman" w:eastAsia="Times New Roman" w:hAnsi="Times New Roman" w:cs="Times New Roman"/>
          <w:sz w:val="20"/>
          <w:szCs w:val="20"/>
        </w:rPr>
        <w:t>. Calcutta.</w:t>
      </w:r>
    </w:p>
    <w:p w14:paraId="22D58A51"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Hunter, W.W. (1872</w:t>
      </w:r>
      <w:r>
        <w:rPr>
          <w:rFonts w:ascii="Times New Roman" w:eastAsia="Times New Roman" w:hAnsi="Times New Roman" w:cs="Times New Roman"/>
          <w:i/>
          <w:sz w:val="20"/>
          <w:szCs w:val="20"/>
        </w:rPr>
        <w:t>). Annals of Rural Bengal.</w:t>
      </w:r>
      <w:r>
        <w:rPr>
          <w:rFonts w:ascii="Times New Roman" w:eastAsia="Times New Roman" w:hAnsi="Times New Roman" w:cs="Times New Roman"/>
          <w:sz w:val="20"/>
          <w:szCs w:val="20"/>
        </w:rPr>
        <w:t xml:space="preserve"> London.</w:t>
      </w:r>
    </w:p>
    <w:p w14:paraId="75281D17"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----------------(1894). </w:t>
      </w:r>
      <w:r>
        <w:rPr>
          <w:rFonts w:ascii="Times New Roman" w:eastAsia="Times New Roman" w:hAnsi="Times New Roman" w:cs="Times New Roman"/>
          <w:i/>
          <w:sz w:val="20"/>
          <w:szCs w:val="20"/>
        </w:rPr>
        <w:t>Bengal MS Records, Vol. 1</w:t>
      </w:r>
      <w:r>
        <w:rPr>
          <w:rFonts w:ascii="Times New Roman" w:eastAsia="Times New Roman" w:hAnsi="Times New Roman" w:cs="Times New Roman"/>
          <w:sz w:val="20"/>
          <w:szCs w:val="20"/>
        </w:rPr>
        <w:t>, 1782-1793. London.</w:t>
      </w:r>
    </w:p>
    <w:p w14:paraId="1EF0E921"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Jha, H. &amp; Sinha, C.P.N. (Ed.). (1996). </w:t>
      </w:r>
      <w:r>
        <w:rPr>
          <w:rFonts w:ascii="Times New Roman" w:eastAsia="Times New Roman" w:hAnsi="Times New Roman" w:cs="Times New Roman"/>
          <w:i/>
          <w:sz w:val="20"/>
          <w:szCs w:val="20"/>
        </w:rPr>
        <w:t>India Tracts: Major J. Browne’s Report on the Jungle Tarai People of South Bihar during 1774-1779</w:t>
      </w:r>
      <w:r>
        <w:rPr>
          <w:rFonts w:ascii="Times New Roman" w:eastAsia="Times New Roman" w:hAnsi="Times New Roman" w:cs="Times New Roman"/>
          <w:sz w:val="20"/>
          <w:szCs w:val="20"/>
        </w:rPr>
        <w:t>. Bihar.</w:t>
      </w:r>
    </w:p>
    <w:p w14:paraId="1B2C4E83"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Marshall, P.J. (1987</w:t>
      </w:r>
      <w:r>
        <w:rPr>
          <w:rFonts w:ascii="Times New Roman" w:eastAsia="Times New Roman" w:hAnsi="Times New Roman" w:cs="Times New Roman"/>
          <w:i/>
          <w:sz w:val="20"/>
          <w:szCs w:val="20"/>
        </w:rPr>
        <w:t>). Bengal: The British Bridgehead Eastern India 1740-1828.</w:t>
      </w:r>
      <w:r>
        <w:rPr>
          <w:rFonts w:ascii="Times New Roman" w:eastAsia="Times New Roman" w:hAnsi="Times New Roman" w:cs="Times New Roman"/>
          <w:sz w:val="20"/>
          <w:szCs w:val="20"/>
        </w:rPr>
        <w:t xml:space="preserve"> Cambridge University Press.</w:t>
      </w:r>
    </w:p>
    <w:p w14:paraId="0DCCC1EC"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O’ Malley, L.S.S. (1908). </w:t>
      </w:r>
      <w:r>
        <w:rPr>
          <w:rFonts w:ascii="Times New Roman" w:eastAsia="Times New Roman" w:hAnsi="Times New Roman" w:cs="Times New Roman"/>
          <w:i/>
          <w:sz w:val="20"/>
          <w:szCs w:val="20"/>
        </w:rPr>
        <w:t>Bengal District Gazetteer Bankura</w:t>
      </w:r>
      <w:r>
        <w:rPr>
          <w:rFonts w:ascii="Times New Roman" w:eastAsia="Times New Roman" w:hAnsi="Times New Roman" w:cs="Times New Roman"/>
          <w:sz w:val="20"/>
          <w:szCs w:val="20"/>
        </w:rPr>
        <w:t xml:space="preserve"> (BDGB). Calcutta.</w:t>
      </w:r>
    </w:p>
    <w:p w14:paraId="03383568"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Price, J.C. (1876</w:t>
      </w:r>
      <w:r>
        <w:rPr>
          <w:rFonts w:ascii="Times New Roman" w:eastAsia="Times New Roman" w:hAnsi="Times New Roman" w:cs="Times New Roman"/>
          <w:i/>
          <w:sz w:val="20"/>
          <w:szCs w:val="20"/>
        </w:rPr>
        <w:t>). Notes on the History of Midnapur, vol. 1</w:t>
      </w:r>
      <w:r>
        <w:rPr>
          <w:rFonts w:ascii="Times New Roman" w:eastAsia="Times New Roman" w:hAnsi="Times New Roman" w:cs="Times New Roman"/>
          <w:sz w:val="20"/>
          <w:szCs w:val="20"/>
        </w:rPr>
        <w:t>. Calcutta.</w:t>
      </w:r>
    </w:p>
    <w:p w14:paraId="1E6592E0"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Reid, J. (1912). </w:t>
      </w:r>
      <w:r>
        <w:rPr>
          <w:rFonts w:ascii="Times New Roman" w:eastAsia="Times New Roman" w:hAnsi="Times New Roman" w:cs="Times New Roman"/>
          <w:i/>
          <w:sz w:val="20"/>
          <w:szCs w:val="20"/>
        </w:rPr>
        <w:t>Final Report On The Survey And Settlement Operations In The District of Ranchi, 1902-1910</w:t>
      </w:r>
      <w:r>
        <w:rPr>
          <w:rFonts w:ascii="Times New Roman" w:eastAsia="Times New Roman" w:hAnsi="Times New Roman" w:cs="Times New Roman"/>
          <w:sz w:val="20"/>
          <w:szCs w:val="20"/>
        </w:rPr>
        <w:t>. Calcutta.</w:t>
      </w:r>
    </w:p>
    <w:p w14:paraId="39C068C7"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Risley, H.H. (1892). </w:t>
      </w:r>
      <w:r>
        <w:rPr>
          <w:rFonts w:ascii="Times New Roman" w:eastAsia="Times New Roman" w:hAnsi="Times New Roman" w:cs="Times New Roman"/>
          <w:i/>
          <w:sz w:val="20"/>
          <w:szCs w:val="20"/>
        </w:rPr>
        <w:t>The Tribes and Castes of Bengal, Vol. I</w:t>
      </w:r>
      <w:r>
        <w:rPr>
          <w:rFonts w:ascii="Times New Roman" w:eastAsia="Times New Roman" w:hAnsi="Times New Roman" w:cs="Times New Roman"/>
          <w:sz w:val="20"/>
          <w:szCs w:val="20"/>
        </w:rPr>
        <w:t>, Calcutta.</w:t>
      </w:r>
    </w:p>
    <w:p w14:paraId="25807D20"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Roy, S. C. (1915). </w:t>
      </w:r>
      <w:r>
        <w:rPr>
          <w:rFonts w:ascii="Times New Roman" w:eastAsia="Times New Roman" w:hAnsi="Times New Roman" w:cs="Times New Roman"/>
          <w:i/>
          <w:sz w:val="20"/>
          <w:szCs w:val="20"/>
        </w:rPr>
        <w:t>The Oraons of Chota Nagpur</w:t>
      </w:r>
      <w:r>
        <w:rPr>
          <w:rFonts w:ascii="Times New Roman" w:eastAsia="Times New Roman" w:hAnsi="Times New Roman" w:cs="Times New Roman"/>
          <w:sz w:val="20"/>
          <w:szCs w:val="20"/>
        </w:rPr>
        <w:t>, Ranchi.</w:t>
      </w:r>
    </w:p>
    <w:p w14:paraId="4D4CFE81"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--------------------------(1968), </w:t>
      </w:r>
      <w:r>
        <w:rPr>
          <w:rFonts w:ascii="Times New Roman" w:eastAsia="Times New Roman" w:hAnsi="Times New Roman" w:cs="Times New Roman"/>
          <w:i/>
          <w:sz w:val="20"/>
          <w:szCs w:val="20"/>
        </w:rPr>
        <w:t>The Mundas and their Country</w:t>
      </w:r>
      <w:r>
        <w:rPr>
          <w:rFonts w:ascii="Times New Roman" w:eastAsia="Times New Roman" w:hAnsi="Times New Roman" w:cs="Times New Roman"/>
          <w:sz w:val="20"/>
          <w:szCs w:val="20"/>
        </w:rPr>
        <w:t>. Ranchi: Asia Publishing House</w:t>
      </w:r>
    </w:p>
    <w:p w14:paraId="1DCC7873"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Sanyal, H. (1981). </w:t>
      </w:r>
      <w:r>
        <w:rPr>
          <w:rFonts w:ascii="Times New Roman" w:eastAsia="Times New Roman" w:hAnsi="Times New Roman" w:cs="Times New Roman"/>
          <w:i/>
          <w:sz w:val="20"/>
          <w:szCs w:val="20"/>
        </w:rPr>
        <w:t>Social Mobility In Bengal</w:t>
      </w:r>
      <w:r>
        <w:rPr>
          <w:rFonts w:ascii="Times New Roman" w:eastAsia="Times New Roman" w:hAnsi="Times New Roman" w:cs="Times New Roman"/>
          <w:sz w:val="20"/>
          <w:szCs w:val="20"/>
        </w:rPr>
        <w:t>. Calcutta.</w:t>
      </w:r>
    </w:p>
    <w:p w14:paraId="4835A899"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-------------------------(1987). Mallabhum in Surajait Sinha (ed) </w:t>
      </w:r>
      <w:r>
        <w:rPr>
          <w:rFonts w:ascii="Times New Roman" w:eastAsia="Times New Roman" w:hAnsi="Times New Roman" w:cs="Times New Roman"/>
          <w:i/>
          <w:sz w:val="20"/>
          <w:szCs w:val="20"/>
        </w:rPr>
        <w:t>Tribal Polities and State Systems in Pre-Colonial Eastern and North Eastern India.</w:t>
      </w:r>
      <w:r>
        <w:rPr>
          <w:rFonts w:ascii="Times New Roman" w:eastAsia="Times New Roman" w:hAnsi="Times New Roman" w:cs="Times New Roman"/>
          <w:sz w:val="20"/>
          <w:szCs w:val="20"/>
        </w:rPr>
        <w:t xml:space="preserve"> Calcutta.</w:t>
      </w:r>
    </w:p>
    <w:p w14:paraId="4D91C0BC"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Sen, R. (1988). </w:t>
      </w:r>
      <w:r>
        <w:rPr>
          <w:rFonts w:ascii="Times New Roman" w:eastAsia="Times New Roman" w:hAnsi="Times New Roman" w:cs="Times New Roman"/>
          <w:i/>
          <w:sz w:val="20"/>
          <w:szCs w:val="20"/>
        </w:rPr>
        <w:t>Social Banditry in Bengal: A Study in Primary Resistance 1757-1793</w:t>
      </w:r>
      <w:r>
        <w:rPr>
          <w:rFonts w:ascii="Times New Roman" w:eastAsia="Times New Roman" w:hAnsi="Times New Roman" w:cs="Times New Roman"/>
          <w:sz w:val="20"/>
          <w:szCs w:val="20"/>
        </w:rPr>
        <w:t>. Ratna Prakashan. Calcutta.</w:t>
      </w:r>
    </w:p>
    <w:p w14:paraId="6B9BCD40"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Singh, K.S. (1987). The Chhotanagpur Raj, Mythology, Structure and Ramification in Surajit Sinha (ed) </w:t>
      </w:r>
      <w:r>
        <w:rPr>
          <w:rFonts w:ascii="Times New Roman" w:eastAsia="Times New Roman" w:hAnsi="Times New Roman" w:cs="Times New Roman"/>
          <w:i/>
          <w:sz w:val="20"/>
          <w:szCs w:val="20"/>
        </w:rPr>
        <w:t>Tribal</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Polities And State Systems In Pre-Colonial and North Eastern India</w:t>
      </w:r>
      <w:r>
        <w:rPr>
          <w:rFonts w:ascii="Times New Roman" w:eastAsia="Times New Roman" w:hAnsi="Times New Roman" w:cs="Times New Roman"/>
          <w:sz w:val="20"/>
          <w:szCs w:val="20"/>
        </w:rPr>
        <w:t>. Calcutta.</w:t>
      </w:r>
    </w:p>
    <w:p w14:paraId="531E121A"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Sinha, S. (1962). State Formation And Rajput Myth In Tribal Central India in </w:t>
      </w:r>
      <w:r>
        <w:rPr>
          <w:rFonts w:ascii="Times New Roman" w:eastAsia="Times New Roman" w:hAnsi="Times New Roman" w:cs="Times New Roman"/>
          <w:i/>
          <w:sz w:val="20"/>
          <w:szCs w:val="20"/>
        </w:rPr>
        <w:t>Man in India</w:t>
      </w:r>
      <w:r>
        <w:rPr>
          <w:rFonts w:ascii="Times New Roman" w:eastAsia="Times New Roman" w:hAnsi="Times New Roman" w:cs="Times New Roman"/>
          <w:sz w:val="20"/>
          <w:szCs w:val="20"/>
        </w:rPr>
        <w:t>, vol. 42, No. 1.</w:t>
      </w:r>
    </w:p>
    <w:p w14:paraId="43A9410B"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Sivaramakrishnan, K. (1999). </w:t>
      </w:r>
      <w:r>
        <w:rPr>
          <w:rFonts w:ascii="Times New Roman" w:eastAsia="Times New Roman" w:hAnsi="Times New Roman" w:cs="Times New Roman"/>
          <w:i/>
          <w:sz w:val="20"/>
          <w:szCs w:val="20"/>
        </w:rPr>
        <w:t>Modern Forests: Statemaking and Environmental Change in Colonial Eastern India</w:t>
      </w:r>
      <w:r>
        <w:rPr>
          <w:rFonts w:ascii="Times New Roman" w:eastAsia="Times New Roman" w:hAnsi="Times New Roman" w:cs="Times New Roman"/>
          <w:sz w:val="20"/>
          <w:szCs w:val="20"/>
        </w:rPr>
        <w:t>. Oxford University Press.</w:t>
      </w:r>
    </w:p>
    <w:p w14:paraId="4F31156B"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Virottam, B. (1972), </w:t>
      </w:r>
      <w:r>
        <w:rPr>
          <w:rFonts w:ascii="Times New Roman" w:eastAsia="Times New Roman" w:hAnsi="Times New Roman" w:cs="Times New Roman"/>
          <w:i/>
          <w:sz w:val="20"/>
          <w:szCs w:val="20"/>
        </w:rPr>
        <w:t>The Nagbanshis and the Cheros</w:t>
      </w:r>
      <w:r>
        <w:rPr>
          <w:rFonts w:ascii="Times New Roman" w:eastAsia="Times New Roman" w:hAnsi="Times New Roman" w:cs="Times New Roman"/>
          <w:sz w:val="20"/>
          <w:szCs w:val="20"/>
        </w:rPr>
        <w:t>. Munshiram Manoharlal, New Delhi.</w:t>
      </w:r>
    </w:p>
    <w:p w14:paraId="290F7C38"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West Bengal State Archives: Proceedings of the Committee of Revenue (CR) </w:t>
      </w:r>
    </w:p>
    <w:p w14:paraId="521D3BB9"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Proceedings of the Governor General in Council (GGC)</w:t>
      </w:r>
    </w:p>
    <w:p w14:paraId="4688F7B5"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-----------------------------------Proceedings of the Provincial Council of Revenue at Burdwan (PCRB).</w:t>
      </w:r>
    </w:p>
    <w:p w14:paraId="0F93A9E2"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-----------------------------------Proceedings of the Comptrolling Committee of Revenue (CCR). </w:t>
      </w:r>
    </w:p>
    <w:p w14:paraId="2EE8EF63" w14:textId="77777777" w:rsidR="003934E1" w:rsidRDefault="0000000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Skaria, A. (1997). Shades of Wildness Tribe, Caste and Gender in Western India in the</w:t>
      </w:r>
      <w:r>
        <w:rPr>
          <w:rFonts w:ascii="Times New Roman" w:eastAsia="Times New Roman" w:hAnsi="Times New Roman" w:cs="Times New Roman"/>
          <w:i/>
          <w:sz w:val="20"/>
          <w:szCs w:val="20"/>
        </w:rPr>
        <w:t xml:space="preserve"> Journal of Asian Studies</w:t>
      </w:r>
      <w:r>
        <w:rPr>
          <w:rFonts w:ascii="Times New Roman" w:eastAsia="Times New Roman" w:hAnsi="Times New Roman" w:cs="Times New Roman"/>
          <w:sz w:val="20"/>
          <w:szCs w:val="20"/>
        </w:rPr>
        <w:t>, vol. 56, No.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675F9"/>
    <w:multiLevelType w:val="multilevel"/>
    <w:tmpl w:val="6A2484D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007BE9"/>
    <w:multiLevelType w:val="multilevel"/>
    <w:tmpl w:val="F22ADD7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6E3BAA"/>
    <w:multiLevelType w:val="multilevel"/>
    <w:tmpl w:val="35566AE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8B061C"/>
    <w:multiLevelType w:val="multilevel"/>
    <w:tmpl w:val="2512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321A32"/>
    <w:multiLevelType w:val="multilevel"/>
    <w:tmpl w:val="319A2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D7E6BB2"/>
    <w:multiLevelType w:val="multilevel"/>
    <w:tmpl w:val="C6BEE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8D10E2"/>
    <w:multiLevelType w:val="multilevel"/>
    <w:tmpl w:val="B98EF1D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416E57C8"/>
    <w:multiLevelType w:val="multilevel"/>
    <w:tmpl w:val="B6627A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7375852"/>
    <w:multiLevelType w:val="multilevel"/>
    <w:tmpl w:val="009A8A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9" w15:restartNumberingAfterBreak="0">
    <w:nsid w:val="48D601B5"/>
    <w:multiLevelType w:val="multilevel"/>
    <w:tmpl w:val="51EAF5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5356DB"/>
    <w:multiLevelType w:val="multilevel"/>
    <w:tmpl w:val="C134925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762957"/>
    <w:multiLevelType w:val="multilevel"/>
    <w:tmpl w:val="6828270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8F903DE"/>
    <w:multiLevelType w:val="multilevel"/>
    <w:tmpl w:val="0B18DB3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FE0769"/>
    <w:multiLevelType w:val="multilevel"/>
    <w:tmpl w:val="E620DAE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BAD3A0B"/>
    <w:multiLevelType w:val="multilevel"/>
    <w:tmpl w:val="FA82DE28"/>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66BA30E5"/>
    <w:multiLevelType w:val="multilevel"/>
    <w:tmpl w:val="EF1CCAE6"/>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6876473D"/>
    <w:multiLevelType w:val="multilevel"/>
    <w:tmpl w:val="5B72983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7" w15:restartNumberingAfterBreak="0">
    <w:nsid w:val="69D730A4"/>
    <w:multiLevelType w:val="multilevel"/>
    <w:tmpl w:val="67E4FCC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8" w15:restartNumberingAfterBreak="0">
    <w:nsid w:val="6D646B8A"/>
    <w:multiLevelType w:val="multilevel"/>
    <w:tmpl w:val="BD7CD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DB21780"/>
    <w:multiLevelType w:val="multilevel"/>
    <w:tmpl w:val="7D2099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0" w15:restartNumberingAfterBreak="0">
    <w:nsid w:val="6E0D2FF5"/>
    <w:multiLevelType w:val="multilevel"/>
    <w:tmpl w:val="F6DCEB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F196AEE"/>
    <w:multiLevelType w:val="multilevel"/>
    <w:tmpl w:val="E7569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00D6874"/>
    <w:multiLevelType w:val="multilevel"/>
    <w:tmpl w:val="E6A842A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BDA308C"/>
    <w:multiLevelType w:val="multilevel"/>
    <w:tmpl w:val="3AE61D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8533117">
    <w:abstractNumId w:val="10"/>
  </w:num>
  <w:num w:numId="2" w16cid:durableId="1281179565">
    <w:abstractNumId w:val="20"/>
  </w:num>
  <w:num w:numId="3" w16cid:durableId="1185247068">
    <w:abstractNumId w:val="21"/>
  </w:num>
  <w:num w:numId="4" w16cid:durableId="104887088">
    <w:abstractNumId w:val="18"/>
  </w:num>
  <w:num w:numId="5" w16cid:durableId="1940872131">
    <w:abstractNumId w:val="15"/>
  </w:num>
  <w:num w:numId="6" w16cid:durableId="1955552384">
    <w:abstractNumId w:val="11"/>
  </w:num>
  <w:num w:numId="7" w16cid:durableId="226307936">
    <w:abstractNumId w:val="19"/>
  </w:num>
  <w:num w:numId="8" w16cid:durableId="1372537872">
    <w:abstractNumId w:val="5"/>
  </w:num>
  <w:num w:numId="9" w16cid:durableId="1998684122">
    <w:abstractNumId w:val="8"/>
  </w:num>
  <w:num w:numId="10" w16cid:durableId="2024243163">
    <w:abstractNumId w:val="6"/>
  </w:num>
  <w:num w:numId="11" w16cid:durableId="765686778">
    <w:abstractNumId w:val="2"/>
  </w:num>
  <w:num w:numId="12" w16cid:durableId="81879242">
    <w:abstractNumId w:val="4"/>
  </w:num>
  <w:num w:numId="13" w16cid:durableId="1831361811">
    <w:abstractNumId w:val="23"/>
  </w:num>
  <w:num w:numId="14" w16cid:durableId="24018903">
    <w:abstractNumId w:val="16"/>
  </w:num>
  <w:num w:numId="15" w16cid:durableId="898902274">
    <w:abstractNumId w:val="17"/>
  </w:num>
  <w:num w:numId="16" w16cid:durableId="195434228">
    <w:abstractNumId w:val="13"/>
  </w:num>
  <w:num w:numId="17" w16cid:durableId="573126448">
    <w:abstractNumId w:val="9"/>
  </w:num>
  <w:num w:numId="18" w16cid:durableId="1505049457">
    <w:abstractNumId w:val="1"/>
  </w:num>
  <w:num w:numId="19" w16cid:durableId="581066433">
    <w:abstractNumId w:val="14"/>
  </w:num>
  <w:num w:numId="20" w16cid:durableId="15347921">
    <w:abstractNumId w:val="22"/>
  </w:num>
  <w:num w:numId="21" w16cid:durableId="530916070">
    <w:abstractNumId w:val="12"/>
  </w:num>
  <w:num w:numId="22" w16cid:durableId="738787846">
    <w:abstractNumId w:val="0"/>
  </w:num>
  <w:num w:numId="23" w16cid:durableId="124936303">
    <w:abstractNumId w:val="7"/>
  </w:num>
  <w:num w:numId="24" w16cid:durableId="5468431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4E1"/>
    <w:rsid w:val="0005114A"/>
    <w:rsid w:val="000F3B28"/>
    <w:rsid w:val="001703A3"/>
    <w:rsid w:val="00227916"/>
    <w:rsid w:val="002513C6"/>
    <w:rsid w:val="00306331"/>
    <w:rsid w:val="00371486"/>
    <w:rsid w:val="003934E1"/>
    <w:rsid w:val="00471508"/>
    <w:rsid w:val="005E7027"/>
    <w:rsid w:val="00664309"/>
    <w:rsid w:val="00712B3F"/>
    <w:rsid w:val="00717C81"/>
    <w:rsid w:val="007D6CEF"/>
    <w:rsid w:val="00A06BAD"/>
    <w:rsid w:val="00AF7AA3"/>
    <w:rsid w:val="00B74491"/>
    <w:rsid w:val="00C034F0"/>
    <w:rsid w:val="00C220EC"/>
    <w:rsid w:val="00C93DCE"/>
    <w:rsid w:val="00CB0D80"/>
    <w:rsid w:val="00D04AD0"/>
    <w:rsid w:val="00DA7562"/>
    <w:rsid w:val="00E46AAF"/>
    <w:rsid w:val="00EB61EF"/>
    <w:rsid w:val="00EC0EA0"/>
    <w:rsid w:val="00F2067F"/>
    <w:rsid w:val="00FA7AFB"/>
    <w:rsid w:val="00FD26C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B9907"/>
  <w15:docId w15:val="{FCA0ECC9-0747-2D46-BDD1-8C6770592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IN" w:eastAsia="en-GB"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C1036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036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036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C103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03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03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03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03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03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03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03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036A"/>
    <w:rPr>
      <w:rFonts w:eastAsiaTheme="majorEastAsia" w:cstheme="majorBidi"/>
      <w:color w:val="272727" w:themeColor="text1" w:themeTint="D8"/>
    </w:rPr>
  </w:style>
  <w:style w:type="character" w:customStyle="1" w:styleId="TitleChar">
    <w:name w:val="Title Char"/>
    <w:basedOn w:val="DefaultParagraphFont"/>
    <w:link w:val="Title"/>
    <w:uiPriority w:val="10"/>
    <w:rsid w:val="00C1036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103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036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1036A"/>
    <w:rPr>
      <w:i/>
      <w:iCs/>
      <w:color w:val="404040" w:themeColor="text1" w:themeTint="BF"/>
    </w:rPr>
  </w:style>
  <w:style w:type="paragraph" w:styleId="ListParagraph">
    <w:name w:val="List Paragraph"/>
    <w:basedOn w:val="Normal"/>
    <w:uiPriority w:val="34"/>
    <w:qFormat/>
    <w:rsid w:val="00C1036A"/>
    <w:pPr>
      <w:ind w:left="720"/>
      <w:contextualSpacing/>
    </w:pPr>
  </w:style>
  <w:style w:type="character" w:styleId="IntenseEmphasis">
    <w:name w:val="Intense Emphasis"/>
    <w:basedOn w:val="DefaultParagraphFont"/>
    <w:uiPriority w:val="21"/>
    <w:qFormat/>
    <w:rsid w:val="00C1036A"/>
    <w:rPr>
      <w:i/>
      <w:iCs/>
      <w:color w:val="0F4761" w:themeColor="accent1" w:themeShade="BF"/>
    </w:rPr>
  </w:style>
  <w:style w:type="paragraph" w:styleId="IntenseQuote">
    <w:name w:val="Intense Quote"/>
    <w:basedOn w:val="Normal"/>
    <w:next w:val="Normal"/>
    <w:link w:val="IntenseQuoteChar"/>
    <w:uiPriority w:val="30"/>
    <w:qFormat/>
    <w:rsid w:val="00C103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036A"/>
    <w:rPr>
      <w:i/>
      <w:iCs/>
      <w:color w:val="0F4761" w:themeColor="accent1" w:themeShade="BF"/>
    </w:rPr>
  </w:style>
  <w:style w:type="character" w:styleId="IntenseReference">
    <w:name w:val="Intense Reference"/>
    <w:basedOn w:val="DefaultParagraphFont"/>
    <w:uiPriority w:val="32"/>
    <w:qFormat/>
    <w:rsid w:val="00C1036A"/>
    <w:rPr>
      <w:b/>
      <w:bCs/>
      <w:smallCaps/>
      <w:color w:val="0F4761" w:themeColor="accent1" w:themeShade="BF"/>
      <w:spacing w:val="5"/>
    </w:rPr>
  </w:style>
  <w:style w:type="paragraph" w:styleId="NormalWeb">
    <w:name w:val="Normal (Web)"/>
    <w:basedOn w:val="Normal"/>
    <w:uiPriority w:val="99"/>
    <w:semiHidden/>
    <w:unhideWhenUsed/>
    <w:rsid w:val="00BC5E2E"/>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C5E2E"/>
    <w:rPr>
      <w:i/>
      <w:iCs/>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mailto:jishnusureshpolsci@maharjas.ac.in" TargetMode="External"/><Relationship Id="rId21" Type="http://schemas.openxmlformats.org/officeDocument/2006/relationships/hyperlink" Target="http://www.himalaya.socanth.cam.ac.uk/collections/journals/bot/pdf/bot_2008_01-02_05.pdf" TargetMode="External"/><Relationship Id="rId42" Type="http://schemas.openxmlformats.org/officeDocument/2006/relationships/hyperlink" Target="https://www.downtoearth.org.in/governance/kolhan-government-estate-3-months-after-recruitment-drive-uneasy-calm-in-west-singhbhum-villages-82606" TargetMode="External"/><Relationship Id="rId47" Type="http://schemas.openxmlformats.org/officeDocument/2006/relationships/image" Target="media/image12.png"/><Relationship Id="rId63" Type="http://schemas.openxmlformats.org/officeDocument/2006/relationships/hyperlink" Target="https://behanbox.com/2023/12/01/why-bastars-young-adivasi-women-struggle-for-a-university-education/" TargetMode="External"/><Relationship Id="rId68" Type="http://schemas.openxmlformats.org/officeDocument/2006/relationships/hyperlink" Target="https://www.pib.gov.in/PressNoteDetails.aspx?NoteId=153230&amp;ModuleId=3" TargetMode="External"/><Relationship Id="rId84" Type="http://schemas.openxmlformats.org/officeDocument/2006/relationships/hyperlink" Target="https://indianexpress.com/article/explained/borphukan-bjp-13th-century-ahom-general-as-a-hindu-swadeshi-warrior-7242058/" TargetMode="External"/><Relationship Id="rId89" Type="http://schemas.openxmlformats.org/officeDocument/2006/relationships/hyperlink" Target="https://timesofindia.indiatimes.com/city/ranchi/jharkhand-government-to-build-100-feet-statue-of-birsa-munda-in-ranchi-bjp/articleshow/66332875.cms" TargetMode="External"/><Relationship Id="rId16" Type="http://schemas.openxmlformats.org/officeDocument/2006/relationships/image" Target="media/image9.jpg"/><Relationship Id="rId107" Type="http://schemas.openxmlformats.org/officeDocument/2006/relationships/image" Target="media/image25.jpeg"/><Relationship Id="rId11" Type="http://schemas.openxmlformats.org/officeDocument/2006/relationships/image" Target="media/image4.jpg"/><Relationship Id="rId32" Type="http://schemas.openxmlformats.org/officeDocument/2006/relationships/hyperlink" Target="https://doi.org/10.1080/14443050309387838" TargetMode="External"/><Relationship Id="rId37" Type="http://schemas.openxmlformats.org/officeDocument/2006/relationships/hyperlink" Target="https://doi.org/10.3389/fpos.2023.1047276" TargetMode="External"/><Relationship Id="rId53" Type="http://schemas.openxmlformats.org/officeDocument/2006/relationships/hyperlink" Target="mailto:Lugunjyoti417@gmail.com" TargetMode="External"/><Relationship Id="rId58" Type="http://schemas.openxmlformats.org/officeDocument/2006/relationships/image" Target="media/image14.jpg"/><Relationship Id="rId74" Type="http://schemas.openxmlformats.org/officeDocument/2006/relationships/hyperlink" Target="https://doi.org/10.1080/09584935.2018.1548008" TargetMode="External"/><Relationship Id="rId79" Type="http://schemas.openxmlformats.org/officeDocument/2006/relationships/hyperlink" Target="http://ci.nii.ac.jp/ncid/BA80504938" TargetMode="External"/><Relationship Id="rId102" Type="http://schemas.openxmlformats.org/officeDocument/2006/relationships/image" Target="media/image20.jpeg"/><Relationship Id="rId5" Type="http://schemas.openxmlformats.org/officeDocument/2006/relationships/webSettings" Target="webSettings.xml"/><Relationship Id="rId90" Type="http://schemas.openxmlformats.org/officeDocument/2006/relationships/hyperlink" Target="https://www.bhaskar.com/local/chhattisgarh/raipur/news/mohan-bhagwat-reached-chhattisgarh-jaspur-will-attend-the-program-of-ambikapur-mohan-bhagwat-unveiled-the-statue-of-chhattisgarh-dilip-singh-judev-130560073.html" TargetMode="External"/><Relationship Id="rId95" Type="http://schemas.openxmlformats.org/officeDocument/2006/relationships/hyperlink" Target="mailto:arifhasan135@gmail.com" TargetMode="External"/><Relationship Id="rId22" Type="http://schemas.openxmlformats.org/officeDocument/2006/relationships/hyperlink" Target="https://doi.org/10.1086/204720" TargetMode="External"/><Relationship Id="rId27" Type="http://schemas.openxmlformats.org/officeDocument/2006/relationships/hyperlink" Target="mailto:manishsurin009@gmail.com" TargetMode="External"/><Relationship Id="rId43" Type="http://schemas.openxmlformats.org/officeDocument/2006/relationships/hyperlink" Target="https://www.bbc.com/hindi/india-46725260" TargetMode="External"/><Relationship Id="rId48" Type="http://schemas.openxmlformats.org/officeDocument/2006/relationships/image" Target="media/image10.png"/><Relationship Id="rId64" Type="http://schemas.openxmlformats.org/officeDocument/2006/relationships/hyperlink" Target="https://caravanmagazine.in/communities/assam-adivasi-tea-tribes-indigenous-ethnic-nationalism-bihu-jhumoir-culture-exoticisation" TargetMode="External"/><Relationship Id="rId69" Type="http://schemas.openxmlformats.org/officeDocument/2006/relationships/hyperlink" Target="https://www.pib.gov.in/PressReleseDetailm.aspx?PRID=1686008" TargetMode="External"/><Relationship Id="rId80" Type="http://schemas.openxmlformats.org/officeDocument/2006/relationships/hyperlink" Target="https://www.hindustantimes.com/india-news/dr-ambedkar-had-visited-rss-shakha-in-1940-says-sangh-s-media-wing-101735817670207.html" TargetMode="External"/><Relationship Id="rId85" Type="http://schemas.openxmlformats.org/officeDocument/2006/relationships/hyperlink" Target="https://www.ptinews.com/story/national/amit-shah-unveils-birsa-munda-s-statue-on-his-150th-birth-anniversary-at-baansera-park/1985111" TargetMode="External"/><Relationship Id="rId12" Type="http://schemas.openxmlformats.org/officeDocument/2006/relationships/image" Target="media/image5.jpg"/><Relationship Id="rId17" Type="http://schemas.openxmlformats.org/officeDocument/2006/relationships/image" Target="media/image10.jpg"/><Relationship Id="rId33" Type="http://schemas.openxmlformats.org/officeDocument/2006/relationships/hyperlink" Target="https://muse.jhu.edu/article/23906" TargetMode="External"/><Relationship Id="rId38" Type="http://schemas.openxmlformats.org/officeDocument/2006/relationships/hyperlink" Target="https://doi.org/10.3389/fpos.2023.1047276" TargetMode="External"/><Relationship Id="rId59" Type="http://schemas.openxmlformats.org/officeDocument/2006/relationships/image" Target="media/image15.jpg"/><Relationship Id="rId103" Type="http://schemas.openxmlformats.org/officeDocument/2006/relationships/image" Target="media/image21.jpeg"/><Relationship Id="rId108" Type="http://schemas.openxmlformats.org/officeDocument/2006/relationships/fontTable" Target="fontTable.xml"/><Relationship Id="rId54" Type="http://schemas.openxmlformats.org/officeDocument/2006/relationships/hyperlink" Target="https://doi.org/10.33545/26648652.2023.v5.i2a.63" TargetMode="External"/><Relationship Id="rId70" Type="http://schemas.openxmlformats.org/officeDocument/2006/relationships/hyperlink" Target="https://www.bhaskar.com/local/chhattisgarh/raipur/news/mohan-bhagwat-reached-chhattisgarh-jaspur-will-attend-the-program-of-ambikapur-mohan-bhagwat-unveiled-the-statue-of-chhattisgarh-dilip-singh-judev-130560073.html" TargetMode="External"/><Relationship Id="rId75" Type="http://schemas.openxmlformats.org/officeDocument/2006/relationships/hyperlink" Target="https://doi.org/10.1080/14662043.2025.2500794" TargetMode="External"/><Relationship Id="rId91" Type="http://schemas.openxmlformats.org/officeDocument/2006/relationships/hyperlink" Target="mailto:mini.agrawal24@gmail.com" TargetMode="External"/><Relationship Id="rId96" Type="http://schemas.openxmlformats.org/officeDocument/2006/relationships/hyperlink" Target="mailto:ahasan@gwa.amity.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www.iosrjournals.org" TargetMode="External"/><Relationship Id="rId28" Type="http://schemas.openxmlformats.org/officeDocument/2006/relationships/hyperlink" Target="https://doi.org/10.1111/soc4.13256" TargetMode="External"/><Relationship Id="rId36" Type="http://schemas.openxmlformats.org/officeDocument/2006/relationships/hyperlink" Target="https://wakkaman.com/snippets-of-ho-history/poto-ho-and-the-battle-of-seringsia-in-ho/" TargetMode="External"/><Relationship Id="rId49" Type="http://schemas.openxmlformats.org/officeDocument/2006/relationships/image" Target="media/image13.png"/><Relationship Id="rId57" Type="http://schemas.openxmlformats.org/officeDocument/2006/relationships/hyperlink" Target="mailto:sahib.tulsi@gmail.com" TargetMode="External"/><Relationship Id="rId106" Type="http://schemas.openxmlformats.org/officeDocument/2006/relationships/image" Target="media/image24.jpeg"/><Relationship Id="rId10" Type="http://schemas.openxmlformats.org/officeDocument/2006/relationships/image" Target="media/image3.png"/><Relationship Id="rId31" Type="http://schemas.openxmlformats.org/officeDocument/2006/relationships/hyperlink" Target="http://www.jstor.org/stable/44155808" TargetMode="External"/><Relationship Id="rId44" Type="http://schemas.openxmlformats.org/officeDocument/2006/relationships/hyperlink" Target="https://www.thepolisproject.com/read/kharsawan-golikaand-adivasi-massacre/" TargetMode="External"/><Relationship Id="rId52" Type="http://schemas.openxmlformats.org/officeDocument/2006/relationships/hyperlink" Target="mailto:valensinduria@gmail.com" TargetMode="External"/><Relationship Id="rId60" Type="http://schemas.openxmlformats.org/officeDocument/2006/relationships/image" Target="media/image16.jpg"/><Relationship Id="rId65" Type="http://schemas.openxmlformats.org/officeDocument/2006/relationships/hyperlink" Target="https://www.dailypioneer.com/2024/pioneer-exclusive/from-sarai-kale-khan-to-birsa-munda-chowk--a-historical-journey.html" TargetMode="External"/><Relationship Id="rId73" Type="http://schemas.openxmlformats.org/officeDocument/2006/relationships/hyperlink" Target="https://www.theweek.in/wire-updates/national/2025/03/19/del78-bjp-jh-scam-bangladeshi.html" TargetMode="External"/><Relationship Id="rId78" Type="http://schemas.openxmlformats.org/officeDocument/2006/relationships/hyperlink" Target="https://doi.org/10.1177/0011392100048003008" TargetMode="External"/><Relationship Id="rId81" Type="http://schemas.openxmlformats.org/officeDocument/2006/relationships/hyperlink" Target="https://www.deccanherald.com/india/from-criticism-to-praise-how-rss-changed-stance-on-ambedkar-3492843" TargetMode="External"/><Relationship Id="rId86" Type="http://schemas.openxmlformats.org/officeDocument/2006/relationships/hyperlink" Target="https://caravanmagazine.in/communities/assam-adivasi-tea-tribes-indigenous-ethnic-nationalism-bihu-jhumoir-culture-exoticisation" TargetMode="External"/><Relationship Id="rId94" Type="http://schemas.openxmlformats.org/officeDocument/2006/relationships/hyperlink" Target="mailto:drpriyankanema@jlu.edu.in" TargetMode="External"/><Relationship Id="rId99" Type="http://schemas.openxmlformats.org/officeDocument/2006/relationships/hyperlink" Target="mailto:1406riyasingh@gmail.com" TargetMode="External"/><Relationship Id="rId101" Type="http://schemas.openxmlformats.org/officeDocument/2006/relationships/hyperlink" Target="mailto:khalkhoasmita@gmail.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g"/><Relationship Id="rId18" Type="http://schemas.openxmlformats.org/officeDocument/2006/relationships/image" Target="media/image11.jpg"/><Relationship Id="rId39" Type="http://schemas.openxmlformats.org/officeDocument/2006/relationships/hyperlink" Target="https://www.bhaskar.com/jharkhand/chaibasa/news/born-in-the-rajbasa-born-poto-ho-defeated-the-english-army-in-1837-the-serengesia-valley-was-the-hero-of-the-war-now-rs-development-of-village-will-be-238-crores-030302-3720081.html" TargetMode="External"/><Relationship Id="rId109" Type="http://schemas.openxmlformats.org/officeDocument/2006/relationships/theme" Target="theme/theme1.xml"/><Relationship Id="rId34" Type="http://schemas.openxmlformats.org/officeDocument/2006/relationships/hyperlink" Target="https://www.newsclick.in/first-tribal-court-jharkhand-fast-tracks-justice-delivery" TargetMode="External"/><Relationship Id="rId50" Type="http://schemas.openxmlformats.org/officeDocument/2006/relationships/hyperlink" Target="mailto:valensinduria@gmail.com" TargetMode="External"/><Relationship Id="rId55" Type="http://schemas.openxmlformats.org/officeDocument/2006/relationships/hyperlink" Target="mailto:swatibijawat21@gmail.com" TargetMode="External"/><Relationship Id="rId76" Type="http://schemas.openxmlformats.org/officeDocument/2006/relationships/hyperlink" Target="https://doi.org/10.1177/2321023019874890" TargetMode="External"/><Relationship Id="rId97" Type="http://schemas.openxmlformats.org/officeDocument/2006/relationships/image" Target="media/image19.png"/><Relationship Id="rId104" Type="http://schemas.openxmlformats.org/officeDocument/2006/relationships/image" Target="media/image22.jpeg"/><Relationship Id="rId7" Type="http://schemas.openxmlformats.org/officeDocument/2006/relationships/endnotes" Target="endnotes.xml"/><Relationship Id="rId71" Type="http://schemas.openxmlformats.org/officeDocument/2006/relationships/hyperlink" Target="https://timesofindia.indiatimes.com/city/ranchi/jharkhand-government-to-build-100-feet-statue-of-birsa-munda-in-ranchi-bjp/articleshow/66332875.cms" TargetMode="External"/><Relationship Id="rId92" Type="http://schemas.openxmlformats.org/officeDocument/2006/relationships/hyperlink" Target="mailto:dr.hjohn21@gmail.com" TargetMode="External"/><Relationship Id="rId2" Type="http://schemas.openxmlformats.org/officeDocument/2006/relationships/numbering" Target="numbering.xml"/><Relationship Id="rId29" Type="http://schemas.openxmlformats.org/officeDocument/2006/relationships/hyperlink" Target="https://doi.org/10.1111/soc4.13256" TargetMode="External"/><Relationship Id="rId24" Type="http://schemas.openxmlformats.org/officeDocument/2006/relationships/hyperlink" Target="https://www.researchgate.net/publication/299537938_Lokaratna_is_the_E-_journal_of_Folklore_Foundation_India_This_is_the_IXth_Volume_containing_articles_and_well_researched_papers_on_culture_folklore_language_pedagogy_art_oral_epic_and_myths_riddles_dr" TargetMode="External"/><Relationship Id="rId40" Type="http://schemas.openxmlformats.org/officeDocument/2006/relationships/hyperlink" Target="https://www.telegraphindia.com/jharkhand/salve-for-1948-firing/cid/1314093" TargetMode="External"/><Relationship Id="rId45" Type="http://schemas.openxmlformats.org/officeDocument/2006/relationships/hyperlink" Target="https://www.bbc.com/hindi/india-43570421" TargetMode="External"/><Relationship Id="rId66" Type="http://schemas.openxmlformats.org/officeDocument/2006/relationships/hyperlink" Target="https://theprint.in/india/dda-to-install-20-foot-statue-of-tribal-leader-birsa-munda-at-baansera-park/2344656/" TargetMode="External"/><Relationship Id="rId87" Type="http://schemas.openxmlformats.org/officeDocument/2006/relationships/hyperlink" Target="https://www.thehindu.com/thread/politics-and-policy/article9193345.ece" TargetMode="External"/><Relationship Id="rId61" Type="http://schemas.openxmlformats.org/officeDocument/2006/relationships/image" Target="media/image17.jpg"/><Relationship Id="rId82" Type="http://schemas.openxmlformats.org/officeDocument/2006/relationships/hyperlink" Target="https://daijiworld.com/index.php/news/newsDisplay?newsID=695439" TargetMode="External"/><Relationship Id="rId19" Type="http://schemas.openxmlformats.org/officeDocument/2006/relationships/hyperlink" Target="http://ijrar.com/" TargetMode="External"/><Relationship Id="rId14" Type="http://schemas.openxmlformats.org/officeDocument/2006/relationships/image" Target="media/image7.jpg"/><Relationship Id="rId30" Type="http://schemas.openxmlformats.org/officeDocument/2006/relationships/hyperlink" Target="http://www.jstor.org/stable/44145239" TargetMode="External"/><Relationship Id="rId35" Type="http://schemas.openxmlformats.org/officeDocument/2006/relationships/hyperlink" Target="https://fiftytwo.in/story/estate/" TargetMode="External"/><Relationship Id="rId56" Type="http://schemas.openxmlformats.org/officeDocument/2006/relationships/hyperlink" Target="mailto:hariyanipreet@gmail.com" TargetMode="External"/><Relationship Id="rId77" Type="http://schemas.openxmlformats.org/officeDocument/2006/relationships/hyperlink" Target="https://doi.org/10.1080/0048721X.2022.2094780" TargetMode="External"/><Relationship Id="rId100" Type="http://schemas.openxmlformats.org/officeDocument/2006/relationships/hyperlink" Target="mailto:khalkhoasmita@gmail.com" TargetMode="External"/><Relationship Id="rId105" Type="http://schemas.openxmlformats.org/officeDocument/2006/relationships/image" Target="media/image23.jpeg"/><Relationship Id="rId8" Type="http://schemas.openxmlformats.org/officeDocument/2006/relationships/image" Target="media/image1.png"/><Relationship Id="rId51" Type="http://schemas.openxmlformats.org/officeDocument/2006/relationships/hyperlink" Target="mailto:Lugunjyoti417@gmail.com" TargetMode="External"/><Relationship Id="rId72" Type="http://schemas.openxmlformats.org/officeDocument/2006/relationships/hyperlink" Target="https://www.thehindu.com/elections/jharkhand-assembly/jharkhand-polls-jmm-led-coalition-is-an-alliance-of-infiltrators-says-pm-modi-in-garhwa/article68828212.ece" TargetMode="External"/><Relationship Id="rId93" Type="http://schemas.openxmlformats.org/officeDocument/2006/relationships/hyperlink" Target="https://orcid.org/0000-0001-7987-8710" TargetMode="External"/><Relationship Id="rId98" Type="http://schemas.openxmlformats.org/officeDocument/2006/relationships/hyperlink" Target="mailto:gopalkumarmahto9955@gmail.com" TargetMode="External"/><Relationship Id="rId3" Type="http://schemas.openxmlformats.org/officeDocument/2006/relationships/styles" Target="styles.xml"/><Relationship Id="rId25" Type="http://schemas.openxmlformats.org/officeDocument/2006/relationships/hyperlink" Target="mailto:hgoutam.phd2025@law.du.ac.in" TargetMode="External"/><Relationship Id="rId46" Type="http://schemas.openxmlformats.org/officeDocument/2006/relationships/hyperlink" Target="mailto:samarth864@gmail.com" TargetMode="External"/><Relationship Id="rId67" Type="http://schemas.openxmlformats.org/officeDocument/2006/relationships/hyperlink" Target="https://www.nationalheraldindia.com/politics/isbt-bus-stop-or-chowk-at-sarai-kale-khanwhat-is-named-after-birsa-munda" TargetMode="External"/><Relationship Id="rId20" Type="http://schemas.openxmlformats.org/officeDocument/2006/relationships/hyperlink" Target="about:blank" TargetMode="External"/><Relationship Id="rId41" Type="http://schemas.openxmlformats.org/officeDocument/2006/relationships/hyperlink" Target="https://navbharattimes.indiatimes.com/state/jharkhand/chaibasa/gua-firing-incident-on-8-september-1980-for-first-time-in-country-bullets-were-fired-in-hospital-violating-red-cross-law/articleshow/113155370.cms" TargetMode="External"/><Relationship Id="rId62" Type="http://schemas.openxmlformats.org/officeDocument/2006/relationships/image" Target="media/image18.jpg"/><Relationship Id="rId83" Type="http://schemas.openxmlformats.org/officeDocument/2006/relationships/hyperlink" Target="https://www.nationalheraldindia.com/politics/isbt-bus-stop-or-chowk-at-sarai-kale-khanwhat-is-named-after-birsa-munda" TargetMode="External"/><Relationship Id="rId88" Type="http://schemas.openxmlformats.org/officeDocument/2006/relationships/hyperlink" Target="https://www.thequint.com/opinion/bjps-demographic-fear-mongering-in-jharkhand-ahead-of-elec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2" Type="http://schemas.openxmlformats.org/officeDocument/2006/relationships/hyperlink" Target="https://navbharattimes.indiatimes.com/state/jharkhand/chaibasa/gua-firing-incident-on-8-september-1980-for-first-time-in-country-bullets-were-fired-in-hospital-violating-red-cross-law/articleshow/113155370.cms" TargetMode="External"/><Relationship Id="rId1" Type="http://schemas.openxmlformats.org/officeDocument/2006/relationships/hyperlink" Target="https://moonchasing.wordpress.com/2012/04/09/a-constitutions-dead-arm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wwuq3S5k+yMqYc2xh7UOc2SXVA==">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271</Pages>
  <Words>98145</Words>
  <Characters>559429</Characters>
  <Application>Microsoft Office Word</Application>
  <DocSecurity>0</DocSecurity>
  <Lines>4661</Lines>
  <Paragraphs>1312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Bipasha Lakra</dc:creator>
  <cp:lastModifiedBy>Bipasha Lakra</cp:lastModifiedBy>
  <cp:revision>3</cp:revision>
  <cp:lastPrinted>2025-10-04T02:49:00Z</cp:lastPrinted>
  <dcterms:created xsi:type="dcterms:W3CDTF">2025-10-04T02:49:00Z</dcterms:created>
  <dcterms:modified xsi:type="dcterms:W3CDTF">2025-10-04T02:49:00Z</dcterms:modified>
</cp:coreProperties>
</file>